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6B5325A9" w:rsidR="001D433E" w:rsidRPr="00B731DF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B731DF">
        <w:rPr>
          <w:rFonts w:cs="Calibri"/>
          <w:sz w:val="22"/>
        </w:rPr>
        <w:t xml:space="preserve">Warszawa, dn. </w:t>
      </w:r>
      <w:r w:rsidR="006C626F" w:rsidRPr="00B731DF">
        <w:rPr>
          <w:rFonts w:cs="Calibri"/>
          <w:sz w:val="22"/>
        </w:rPr>
        <w:t>2</w:t>
      </w:r>
      <w:r w:rsidR="008C1C11">
        <w:rPr>
          <w:rFonts w:cs="Calibri"/>
          <w:sz w:val="22"/>
        </w:rPr>
        <w:t>7</w:t>
      </w:r>
      <w:r w:rsidRPr="00B731DF">
        <w:rPr>
          <w:rFonts w:cs="Calibri"/>
          <w:sz w:val="22"/>
        </w:rPr>
        <w:t>.</w:t>
      </w:r>
      <w:r w:rsidR="00B731DF" w:rsidRPr="00B731DF">
        <w:rPr>
          <w:rFonts w:cs="Calibri"/>
          <w:sz w:val="22"/>
        </w:rPr>
        <w:t>0</w:t>
      </w:r>
      <w:r w:rsidR="006C626F" w:rsidRPr="00B731DF">
        <w:rPr>
          <w:rFonts w:cs="Calibri"/>
          <w:sz w:val="22"/>
        </w:rPr>
        <w:t>2</w:t>
      </w:r>
      <w:r w:rsidRPr="00B731DF">
        <w:rPr>
          <w:rFonts w:cs="Calibri"/>
          <w:sz w:val="22"/>
        </w:rPr>
        <w:t>.202</w:t>
      </w:r>
      <w:r w:rsidR="00B731DF" w:rsidRPr="00B731DF">
        <w:rPr>
          <w:rFonts w:cs="Calibri"/>
          <w:sz w:val="22"/>
        </w:rPr>
        <w:t>3</w:t>
      </w:r>
      <w:r w:rsidRPr="00B731DF">
        <w:rPr>
          <w:rFonts w:cs="Calibri"/>
          <w:sz w:val="22"/>
        </w:rPr>
        <w:t>r.</w:t>
      </w:r>
    </w:p>
    <w:p w14:paraId="7E90C951" w14:textId="77777777" w:rsidR="001D433E" w:rsidRPr="00B731DF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B731DF">
        <w:rPr>
          <w:rFonts w:cs="Calibri"/>
          <w:b/>
          <w:sz w:val="22"/>
        </w:rPr>
        <w:t>Sieć Badawcza Łukasiewicz</w:t>
      </w:r>
    </w:p>
    <w:p w14:paraId="41170466" w14:textId="4D3CBA79" w:rsidR="001D433E" w:rsidRPr="00B731DF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B731DF">
        <w:rPr>
          <w:rFonts w:cs="Calibri"/>
          <w:b/>
          <w:sz w:val="22"/>
        </w:rPr>
        <w:t>Instytut Tele- i Radiotechniczny</w:t>
      </w:r>
      <w:r w:rsidRPr="00B731DF">
        <w:rPr>
          <w:rFonts w:cs="Calibri"/>
          <w:b/>
          <w:sz w:val="22"/>
        </w:rPr>
        <w:tab/>
      </w:r>
      <w:r w:rsidRPr="00B731DF">
        <w:rPr>
          <w:rFonts w:cs="Calibri"/>
          <w:b/>
          <w:sz w:val="22"/>
        </w:rPr>
        <w:tab/>
      </w:r>
      <w:r w:rsidRPr="00B731DF">
        <w:rPr>
          <w:rFonts w:cs="Calibri"/>
          <w:b/>
          <w:sz w:val="22"/>
        </w:rPr>
        <w:tab/>
      </w:r>
      <w:r w:rsidRPr="00B731DF">
        <w:rPr>
          <w:rFonts w:cs="Calibri"/>
          <w:b/>
          <w:sz w:val="22"/>
        </w:rPr>
        <w:tab/>
      </w:r>
    </w:p>
    <w:p w14:paraId="2B109373" w14:textId="77777777" w:rsidR="001D433E" w:rsidRPr="00B731DF" w:rsidRDefault="001D433E" w:rsidP="009026D2">
      <w:pPr>
        <w:spacing w:after="0" w:line="240" w:lineRule="auto"/>
        <w:rPr>
          <w:rFonts w:cs="Calibri"/>
          <w:sz w:val="22"/>
        </w:rPr>
      </w:pPr>
      <w:r w:rsidRPr="00B731DF">
        <w:rPr>
          <w:rFonts w:cs="Calibri"/>
          <w:sz w:val="22"/>
        </w:rPr>
        <w:t>ul. Ratuszowa 11</w:t>
      </w:r>
    </w:p>
    <w:p w14:paraId="35F566D0" w14:textId="7ACA2821" w:rsidR="001D433E" w:rsidRPr="00B731DF" w:rsidRDefault="001D433E" w:rsidP="009026D2">
      <w:pPr>
        <w:spacing w:after="0" w:line="240" w:lineRule="auto"/>
        <w:rPr>
          <w:rFonts w:cs="Calibri"/>
          <w:sz w:val="22"/>
        </w:rPr>
      </w:pPr>
      <w:r w:rsidRPr="00B731DF">
        <w:rPr>
          <w:rFonts w:cs="Calibri"/>
          <w:sz w:val="22"/>
        </w:rPr>
        <w:t>03-450 Warszawa</w:t>
      </w:r>
    </w:p>
    <w:p w14:paraId="37150D67" w14:textId="133D9131" w:rsidR="00BD6728" w:rsidRPr="00B731DF" w:rsidRDefault="00BD6728" w:rsidP="00BD6728">
      <w:pPr>
        <w:spacing w:after="0" w:line="240" w:lineRule="auto"/>
        <w:rPr>
          <w:rFonts w:cs="Calibri"/>
          <w:sz w:val="22"/>
        </w:rPr>
      </w:pPr>
      <w:r w:rsidRPr="00B731DF">
        <w:rPr>
          <w:rFonts w:cs="Calibri"/>
          <w:sz w:val="22"/>
        </w:rPr>
        <w:t>www.itr.lukasiewicz.gov.pl</w:t>
      </w:r>
    </w:p>
    <w:p w14:paraId="3872710D" w14:textId="3DAFFB84" w:rsidR="00BD6728" w:rsidRPr="00B731DF" w:rsidRDefault="00BD6728" w:rsidP="00BD6728">
      <w:pPr>
        <w:spacing w:after="0" w:line="240" w:lineRule="auto"/>
        <w:rPr>
          <w:rFonts w:cs="Calibri"/>
          <w:sz w:val="22"/>
        </w:rPr>
      </w:pPr>
      <w:r w:rsidRPr="00B731DF">
        <w:rPr>
          <w:rFonts w:cs="Calibri"/>
          <w:sz w:val="22"/>
        </w:rPr>
        <w:t>Tel/fax.: 22 5907347</w:t>
      </w:r>
    </w:p>
    <w:p w14:paraId="583B892B" w14:textId="77777777" w:rsidR="00BD6728" w:rsidRPr="00B731DF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648F09C0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E75EC15" w14:textId="77777777" w:rsidR="00CD66AF" w:rsidRPr="00B731DF" w:rsidRDefault="00CD66AF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B731DF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7BD3E2F3" w:rsidR="00BD6728" w:rsidRPr="00B731DF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B731DF" w:rsidRPr="00B731DF">
        <w:rPr>
          <w:rFonts w:asciiTheme="minorHAnsi" w:eastAsia="Arial" w:hAnsiTheme="minorHAnsi" w:cs="Calibri"/>
          <w:b/>
          <w:bCs/>
          <w:sz w:val="22"/>
          <w:szCs w:val="22"/>
        </w:rPr>
        <w:t>03</w:t>
      </w: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B731DF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B731DF" w:rsidRPr="00B731DF">
        <w:rPr>
          <w:rFonts w:asciiTheme="minorHAnsi" w:eastAsia="Arial" w:hAnsiTheme="minorHAnsi" w:cs="Calibri"/>
          <w:b/>
          <w:bCs/>
          <w:sz w:val="22"/>
          <w:szCs w:val="22"/>
        </w:rPr>
        <w:t>3</w:t>
      </w:r>
    </w:p>
    <w:p w14:paraId="54E38400" w14:textId="065B1547" w:rsidR="008B5A31" w:rsidRPr="00B731DF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0931BF5" w14:textId="77777777" w:rsidR="00B731DF" w:rsidRDefault="00E65BC8" w:rsidP="00B731DF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B731DF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I. </w:t>
      </w:r>
      <w:r w:rsidR="00BD6728" w:rsidRPr="00B731DF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 na</w:t>
      </w:r>
      <w:r w:rsidR="006C626F" w:rsidRPr="00B731DF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 dostawę</w:t>
      </w:r>
      <w:r w:rsidR="00B731DF" w:rsidRPr="00B731DF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 </w:t>
      </w:r>
    </w:p>
    <w:p w14:paraId="3863E620" w14:textId="052441E8" w:rsidR="00B731DF" w:rsidRDefault="007B6228" w:rsidP="00B731DF">
      <w:pPr>
        <w:pStyle w:val="Akapitzlist"/>
        <w:widowControl w:val="0"/>
        <w:numPr>
          <w:ilvl w:val="0"/>
          <w:numId w:val="38"/>
        </w:numPr>
        <w:suppressAutoHyphens/>
        <w:spacing w:after="120"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>S</w:t>
      </w:r>
      <w:r w:rsidR="00B731DF"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erwera </w:t>
      </w:r>
      <w:r w:rsidR="00B731DF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na platformie Supermicro </w:t>
      </w:r>
      <w:r w:rsidR="00B731DF"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>SYS-5019P-WTR- jedna sztuka.</w:t>
      </w:r>
    </w:p>
    <w:p w14:paraId="5B010433" w14:textId="77777777" w:rsidR="00F5350F" w:rsidRPr="00B731DF" w:rsidRDefault="00F5350F" w:rsidP="00F5350F">
      <w:pPr>
        <w:pStyle w:val="Akapitzlist"/>
        <w:widowControl w:val="0"/>
        <w:suppressAutoHyphens/>
        <w:spacing w:after="120"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p w14:paraId="28E3883E" w14:textId="510AF03A" w:rsidR="00E65BC8" w:rsidRPr="00B731DF" w:rsidRDefault="00B731DF" w:rsidP="00B731DF">
      <w:pPr>
        <w:pStyle w:val="Akapitzlist"/>
        <w:widowControl w:val="0"/>
        <w:numPr>
          <w:ilvl w:val="0"/>
          <w:numId w:val="38"/>
        </w:numPr>
        <w:suppressAutoHyphens/>
        <w:spacing w:after="120"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>Specyfikację sprzętu zawiera sekcja X</w:t>
      </w:r>
      <w:r w:rsidR="00F5350F">
        <w:rPr>
          <w:rFonts w:asciiTheme="minorHAnsi" w:eastAsia="Lucida Sans Unicode" w:hAnsiTheme="minorHAnsi" w:cs="Calibri"/>
          <w:b/>
          <w:bCs/>
          <w:kern w:val="36"/>
          <w:sz w:val="22"/>
        </w:rPr>
        <w:t>I</w:t>
      </w:r>
      <w:r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>V.</w:t>
      </w:r>
    </w:p>
    <w:p w14:paraId="2C05E23A" w14:textId="77777777" w:rsidR="00E65BC8" w:rsidRPr="00B731DF" w:rsidRDefault="00E65BC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08D0C275" w:rsidR="00BD6728" w:rsidRPr="00B731DF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</w:t>
      </w:r>
      <w:r w:rsidR="00E65BC8"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</w:t>
      </w:r>
      <w:r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 Warunki konieczne dostawy;</w:t>
      </w:r>
    </w:p>
    <w:p w14:paraId="58862C06" w14:textId="77777777" w:rsidR="00BD6728" w:rsidRPr="00B731DF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6730E33C" w14:textId="77777777" w:rsidR="00DC46E5" w:rsidRPr="00B731DF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p w14:paraId="61858DC4" w14:textId="07440AEB" w:rsidR="00BD6728" w:rsidRPr="00B731DF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B731DF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0CB9BD55" w14:textId="77777777" w:rsidR="00D96632" w:rsidRPr="00B731DF" w:rsidRDefault="00D96632" w:rsidP="007B4170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0" w:name="_Hlk69978266"/>
      <w:r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G</w:t>
      </w:r>
      <w:r w:rsidR="00964742"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warancja na sprzęt</w:t>
      </w:r>
      <w:r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;</w:t>
      </w:r>
    </w:p>
    <w:p w14:paraId="4CA1305B" w14:textId="77777777" w:rsidR="00D96632" w:rsidRPr="00B731DF" w:rsidRDefault="00D96632" w:rsidP="00D96632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bookmarkEnd w:id="0"/>
    <w:p w14:paraId="1009FCE9" w14:textId="6EB203FA" w:rsidR="00D96632" w:rsidRPr="00B731DF" w:rsidRDefault="00F5350F" w:rsidP="00D96632">
      <w:pPr>
        <w:pStyle w:val="Akapitzlist"/>
        <w:widowControl w:val="0"/>
        <w:numPr>
          <w:ilvl w:val="0"/>
          <w:numId w:val="3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Minimum </w:t>
      </w:r>
      <w:r w:rsidR="00D96632"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>36 miesięcy door-to-door</w:t>
      </w:r>
      <w:r w:rsidR="00E65BC8"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>.</w:t>
      </w:r>
      <w:r w:rsidR="00D96632" w:rsidRPr="00B731DF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 </w:t>
      </w:r>
    </w:p>
    <w:p w14:paraId="2B3AB58B" w14:textId="6BAB8D97" w:rsidR="00FD5772" w:rsidRPr="00B731DF" w:rsidRDefault="00FD5772" w:rsidP="00D96632">
      <w:pPr>
        <w:widowControl w:val="0"/>
        <w:suppressAutoHyphens/>
        <w:spacing w:after="0" w:line="240" w:lineRule="auto"/>
        <w:ind w:firstLine="708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79BCEECD" w14:textId="5050F569" w:rsidR="00B731DF" w:rsidRPr="00B731DF" w:rsidRDefault="00B731DF" w:rsidP="00B731DF">
      <w:pPr>
        <w:pStyle w:val="Default"/>
        <w:spacing w:after="45"/>
        <w:rPr>
          <w:rFonts w:asciiTheme="minorHAnsi" w:eastAsia="Arial" w:hAnsiTheme="minorHAnsi" w:cs="Arial"/>
          <w:b/>
          <w:bCs/>
          <w:sz w:val="22"/>
          <w:szCs w:val="22"/>
        </w:rPr>
      </w:pPr>
      <w:r w:rsidRPr="00B731DF">
        <w:rPr>
          <w:rFonts w:asciiTheme="minorHAnsi" w:eastAsia="Arial" w:hAnsiTheme="minorHAnsi" w:cs="Arial"/>
          <w:b/>
          <w:bCs/>
          <w:sz w:val="22"/>
          <w:szCs w:val="22"/>
        </w:rPr>
        <w:t>III. Złożenie oferty jest tożsame z akceptacją wymagań złożonych w zapytaniu ofertowym. W razie dostarczenia sprzętu niezgodnego z wymaganiami, oferent odbiera sprzęt na swój koszt.</w:t>
      </w:r>
    </w:p>
    <w:p w14:paraId="4DF7BBAF" w14:textId="77777777" w:rsidR="00B731DF" w:rsidRPr="00B731DF" w:rsidRDefault="00B731DF" w:rsidP="00915872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DBE7E0" w14:textId="4FBAD7DB" w:rsidR="00C73D29" w:rsidRPr="00B731DF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B731D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</w:t>
      </w:r>
      <w:r w:rsidR="00C73D29" w:rsidRPr="00B731DF">
        <w:t xml:space="preserve"> </w:t>
      </w:r>
      <w:r w:rsidR="00C73D29" w:rsidRPr="00B731DF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Oferty na zamienniki nie będą rozpatrywane.</w:t>
      </w:r>
    </w:p>
    <w:p w14:paraId="0D461CD0" w14:textId="77777777" w:rsidR="008B5A31" w:rsidRPr="00B731DF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5FC1F77B" w:rsidR="000C7545" w:rsidRPr="00B731DF" w:rsidRDefault="00BD6728" w:rsidP="00B731DF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B731DF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B731DF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B731DF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Kody wg. klasyfikacji Wspólnego Słownika Zamówień CPV;</w:t>
      </w:r>
      <w:r w:rsidR="00B731DF" w:rsidRPr="00B731DF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 48822000-6</w:t>
      </w:r>
      <w:r w:rsidR="00B731DF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, s</w:t>
      </w:r>
      <w:r w:rsidR="00B731DF" w:rsidRPr="00B731DF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erwery komputerowe</w:t>
      </w:r>
    </w:p>
    <w:p w14:paraId="3B49F610" w14:textId="77777777" w:rsidR="00B731DF" w:rsidRDefault="00B731DF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1D52DF80" w14:textId="77777777" w:rsidR="00CD66AF" w:rsidRDefault="00CD66AF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3459E5" w14:textId="6CEEB998" w:rsidR="000C7545" w:rsidRPr="00B731DF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B731DF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lastRenderedPageBreak/>
        <w:t>VI. Terminy;</w:t>
      </w:r>
    </w:p>
    <w:p w14:paraId="0324C82A" w14:textId="77777777" w:rsidR="00C73D29" w:rsidRPr="00B731DF" w:rsidRDefault="00C73D29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E1561E" w14:textId="73575239" w:rsidR="001D433E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B731DF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B731DF">
        <w:rPr>
          <w:rFonts w:asciiTheme="minorHAnsi" w:hAnsiTheme="minorHAnsi" w:cs="Calibri"/>
          <w:sz w:val="22"/>
          <w:szCs w:val="22"/>
        </w:rPr>
        <w:t xml:space="preserve"> do </w:t>
      </w:r>
      <w:r w:rsidR="00B731DF">
        <w:rPr>
          <w:rFonts w:asciiTheme="minorHAnsi" w:hAnsiTheme="minorHAnsi" w:cs="Calibri"/>
          <w:sz w:val="22"/>
          <w:szCs w:val="22"/>
        </w:rPr>
        <w:t>06</w:t>
      </w:r>
      <w:r w:rsidRPr="00B731DF">
        <w:rPr>
          <w:rFonts w:asciiTheme="minorHAnsi" w:hAnsiTheme="minorHAnsi" w:cs="Calibri"/>
          <w:sz w:val="22"/>
          <w:szCs w:val="22"/>
        </w:rPr>
        <w:t>.</w:t>
      </w:r>
      <w:r w:rsidR="00B731DF">
        <w:rPr>
          <w:rFonts w:asciiTheme="minorHAnsi" w:hAnsiTheme="minorHAnsi" w:cs="Calibri"/>
          <w:sz w:val="22"/>
          <w:szCs w:val="22"/>
        </w:rPr>
        <w:t>03</w:t>
      </w:r>
      <w:r w:rsidRPr="00B731DF">
        <w:rPr>
          <w:rFonts w:asciiTheme="minorHAnsi" w:hAnsiTheme="minorHAnsi" w:cs="Calibri"/>
          <w:sz w:val="22"/>
          <w:szCs w:val="22"/>
        </w:rPr>
        <w:t>.20</w:t>
      </w:r>
      <w:r w:rsidR="009026D2" w:rsidRPr="00B731DF">
        <w:rPr>
          <w:rFonts w:asciiTheme="minorHAnsi" w:hAnsiTheme="minorHAnsi" w:cs="Calibri"/>
          <w:sz w:val="22"/>
          <w:szCs w:val="22"/>
        </w:rPr>
        <w:t>2</w:t>
      </w:r>
      <w:r w:rsidR="00B731DF">
        <w:rPr>
          <w:rFonts w:asciiTheme="minorHAnsi" w:hAnsiTheme="minorHAnsi" w:cs="Calibri"/>
          <w:sz w:val="22"/>
          <w:szCs w:val="22"/>
        </w:rPr>
        <w:t>3</w:t>
      </w:r>
      <w:r w:rsidRPr="00B731DF">
        <w:rPr>
          <w:rFonts w:asciiTheme="minorHAnsi" w:hAnsiTheme="minorHAnsi" w:cs="Calibri"/>
          <w:sz w:val="22"/>
          <w:szCs w:val="22"/>
        </w:rPr>
        <w:t>r. godz. 1</w:t>
      </w:r>
      <w:r w:rsidR="001E2B9D" w:rsidRPr="00B731DF">
        <w:rPr>
          <w:rFonts w:asciiTheme="minorHAnsi" w:hAnsiTheme="minorHAnsi" w:cs="Calibri"/>
          <w:sz w:val="22"/>
          <w:szCs w:val="22"/>
        </w:rPr>
        <w:t>2</w:t>
      </w:r>
      <w:r w:rsidR="000B4263" w:rsidRPr="00B731DF">
        <w:rPr>
          <w:rFonts w:asciiTheme="minorHAnsi" w:hAnsiTheme="minorHAnsi" w:cs="Calibri"/>
          <w:sz w:val="22"/>
          <w:szCs w:val="22"/>
        </w:rPr>
        <w:t>.00</w:t>
      </w:r>
    </w:p>
    <w:p w14:paraId="2047AAAA" w14:textId="77777777" w:rsidR="00B731DF" w:rsidRPr="00B731DF" w:rsidRDefault="00B731DF" w:rsidP="00B731DF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B731DF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B731DF">
        <w:rPr>
          <w:rFonts w:asciiTheme="minorHAnsi" w:hAnsiTheme="minorHAnsi" w:cs="Calibri"/>
          <w:sz w:val="22"/>
          <w:szCs w:val="22"/>
        </w:rPr>
        <w:t xml:space="preserve"> do 7 dni od zamówienia.</w:t>
      </w:r>
    </w:p>
    <w:p w14:paraId="158F2B17" w14:textId="77777777" w:rsidR="00DC46E5" w:rsidRPr="00B731DF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B731DF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B731DF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B731DF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B731DF">
        <w:rPr>
          <w:rFonts w:asciiTheme="minorHAnsi" w:eastAsia="Arial" w:hAnsiTheme="minorHAnsi" w:cs="Calibri"/>
          <w:sz w:val="22"/>
          <w:szCs w:val="22"/>
        </w:rPr>
        <w:t>informatyczny</w:t>
      </w:r>
      <w:r w:rsidRPr="00B731DF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B731DF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B731DF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B731DF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B731DF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48ADC84D" w:rsidR="000C7545" w:rsidRPr="00B731DF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FD5772" w:rsidRPr="00B731DF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B731DF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Pr="00B731DF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Pr="00B731DF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B731DF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6B04E27B" w14:textId="77777777" w:rsidR="00915872" w:rsidRPr="00B731DF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B731DF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B731DF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B731DF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B731DF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139FAFE6" w14:textId="612D2B65" w:rsidR="00C73D29" w:rsidRPr="00B731DF" w:rsidRDefault="000B4263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1" w:name="_Hlk81910994"/>
      <w:r w:rsidRPr="00B731DF">
        <w:rPr>
          <w:rFonts w:asciiTheme="minorHAnsi" w:eastAsia="Arial" w:hAnsiTheme="minorHAnsi" w:cs="Calibri"/>
          <w:sz w:val="22"/>
          <w:szCs w:val="22"/>
        </w:rPr>
        <w:t xml:space="preserve">Oferty złożone po </w:t>
      </w:r>
      <w:r w:rsidR="001732A9" w:rsidRPr="00B731DF">
        <w:rPr>
          <w:rFonts w:asciiTheme="minorHAnsi" w:eastAsia="Arial" w:hAnsiTheme="minorHAnsi" w:cs="Calibri"/>
          <w:sz w:val="22"/>
          <w:szCs w:val="22"/>
        </w:rPr>
        <w:t>po</w:t>
      </w:r>
      <w:r w:rsidRPr="00B731DF">
        <w:rPr>
          <w:rFonts w:asciiTheme="minorHAnsi" w:eastAsia="Arial" w:hAnsiTheme="minorHAnsi" w:cs="Calibri"/>
          <w:sz w:val="22"/>
          <w:szCs w:val="22"/>
        </w:rPr>
        <w:t>wyżej wymienionym terminie składania ofert oraz n</w:t>
      </w:r>
      <w:r w:rsidR="00C73D29" w:rsidRPr="00B731DF">
        <w:rPr>
          <w:rFonts w:asciiTheme="minorHAnsi" w:eastAsia="Arial" w:hAnsiTheme="minorHAnsi" w:cs="Calibri"/>
          <w:sz w:val="22"/>
          <w:szCs w:val="22"/>
        </w:rPr>
        <w:t>ieprawidłowo przygotowane nie będą rozpatrywane.</w:t>
      </w:r>
    </w:p>
    <w:bookmarkEnd w:id="1"/>
    <w:p w14:paraId="3EA06CE8" w14:textId="6C78F2D1" w:rsidR="000C7545" w:rsidRPr="00B731DF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B731DF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B731DF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B731DF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B731DF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B731DF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B731DF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B731DF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B731DF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B731DF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B731DF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B731DF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B731DF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8FEA533" w14:textId="41060FC3" w:rsidR="00FD5772" w:rsidRPr="00B731DF" w:rsidRDefault="00964742" w:rsidP="005858A3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B731DF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potwierdzenie gwarancji na sprzęt</w:t>
      </w:r>
      <w:r w:rsidR="00FD5772" w:rsidRPr="00B731DF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.</w:t>
      </w:r>
    </w:p>
    <w:p w14:paraId="6FE1D687" w14:textId="77777777" w:rsidR="00FD5772" w:rsidRPr="00B731DF" w:rsidRDefault="00FD5772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0E6BC586" w14:textId="77777777" w:rsidR="000C7545" w:rsidRPr="00B731DF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B731DF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B731DF">
        <w:rPr>
          <w:rFonts w:cs="Calibri"/>
          <w:b/>
          <w:bCs/>
          <w:color w:val="000000"/>
          <w:sz w:val="22"/>
        </w:rPr>
        <w:t>XI. Zapytanie ofertowe zamieszczono na stronie:</w:t>
      </w:r>
      <w:r w:rsidRPr="00B731DF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B731DF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B731DF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B731DF">
        <w:rPr>
          <w:rFonts w:cs="Calibri"/>
          <w:b/>
          <w:bCs/>
          <w:color w:val="000000"/>
          <w:sz w:val="22"/>
        </w:rPr>
        <w:lastRenderedPageBreak/>
        <w:t>XII. Do niniejszego zapytania ofertowego nie stosuje się przepisów ustawy – Prawo zamówień publicznych.</w:t>
      </w:r>
    </w:p>
    <w:p w14:paraId="06467700" w14:textId="77777777" w:rsidR="000C7545" w:rsidRPr="00B731DF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BDDC8CA" w14:textId="3C58228D" w:rsidR="00E65BC8" w:rsidRPr="00B731DF" w:rsidRDefault="000C7545" w:rsidP="00E65BC8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B731DF">
        <w:rPr>
          <w:rFonts w:cs="Calibri"/>
          <w:b/>
          <w:bCs/>
          <w:color w:val="000000"/>
          <w:sz w:val="22"/>
        </w:rPr>
        <w:t>XI</w:t>
      </w:r>
      <w:r w:rsidR="00C73D29" w:rsidRPr="00B731DF">
        <w:rPr>
          <w:rFonts w:cs="Calibri"/>
          <w:b/>
          <w:bCs/>
          <w:color w:val="000000"/>
          <w:sz w:val="22"/>
        </w:rPr>
        <w:t>II</w:t>
      </w:r>
      <w:r w:rsidRPr="00B731DF">
        <w:rPr>
          <w:rFonts w:cs="Calibri"/>
          <w:b/>
          <w:bCs/>
          <w:color w:val="000000"/>
          <w:sz w:val="22"/>
        </w:rPr>
        <w:t>. Dodatkowych informacji udziela</w:t>
      </w:r>
    </w:p>
    <w:p w14:paraId="214586FD" w14:textId="4ED6FC70" w:rsidR="00B47EC5" w:rsidRPr="00B731DF" w:rsidRDefault="00E65BC8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B731DF">
        <w:rPr>
          <w:rFonts w:cs="Calibri"/>
          <w:color w:val="000000"/>
          <w:sz w:val="22"/>
        </w:rPr>
        <w:t xml:space="preserve">* </w:t>
      </w:r>
      <w:r w:rsidR="00B47EC5" w:rsidRPr="00B731DF">
        <w:rPr>
          <w:rFonts w:cs="Calibri"/>
          <w:color w:val="000000"/>
          <w:sz w:val="22"/>
        </w:rPr>
        <w:t xml:space="preserve">Władysław </w:t>
      </w:r>
      <w:r w:rsidR="000C7545" w:rsidRPr="00B731DF">
        <w:rPr>
          <w:rFonts w:cs="Calibri"/>
          <w:color w:val="000000"/>
          <w:sz w:val="22"/>
        </w:rPr>
        <w:t>Pawłowski</w:t>
      </w:r>
      <w:r w:rsidR="00B47EC5" w:rsidRPr="00B731DF">
        <w:rPr>
          <w:rFonts w:cs="Calibri"/>
          <w:color w:val="000000"/>
          <w:sz w:val="22"/>
        </w:rPr>
        <w:t>,</w:t>
      </w:r>
      <w:r w:rsidR="000C7545" w:rsidRPr="00B731DF">
        <w:rPr>
          <w:rFonts w:cs="Calibri"/>
          <w:color w:val="000000"/>
          <w:sz w:val="22"/>
        </w:rPr>
        <w:t xml:space="preserve"> tel</w:t>
      </w:r>
      <w:r w:rsidR="00B47EC5" w:rsidRPr="00B731DF">
        <w:rPr>
          <w:rFonts w:cs="Calibri"/>
          <w:color w:val="000000"/>
          <w:sz w:val="22"/>
        </w:rPr>
        <w:t>:</w:t>
      </w:r>
      <w:r w:rsidR="000C7545" w:rsidRPr="00B731DF">
        <w:rPr>
          <w:rFonts w:cs="Calibri"/>
          <w:color w:val="000000"/>
          <w:sz w:val="22"/>
        </w:rPr>
        <w:t xml:space="preserve"> 22 5907347, </w:t>
      </w:r>
      <w:hyperlink r:id="rId9" w:history="1">
        <w:r w:rsidR="00B47EC5" w:rsidRPr="00B731DF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0E6DF09F" w14:textId="77FA4B51" w:rsidR="00B47EC5" w:rsidRDefault="00B47EC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1D802A2B" w14:textId="2C8EADE3" w:rsidR="00B731DF" w:rsidRPr="00B731DF" w:rsidRDefault="00B731DF" w:rsidP="00B731DF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B731DF">
        <w:rPr>
          <w:rFonts w:cs="Calibri"/>
          <w:b/>
          <w:bCs/>
          <w:color w:val="000000"/>
          <w:sz w:val="22"/>
        </w:rPr>
        <w:t>XIV. Konfiguracja sprzętu</w:t>
      </w:r>
    </w:p>
    <w:p w14:paraId="582850F2" w14:textId="383E18B7" w:rsidR="00B731DF" w:rsidRDefault="00B731DF" w:rsidP="00B731DF">
      <w:pPr>
        <w:spacing w:after="0" w:line="360" w:lineRule="auto"/>
        <w:jc w:val="left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1. Platforma bazowa </w:t>
      </w:r>
      <w:r w:rsidR="009011A1" w:rsidRPr="009011A1">
        <w:rPr>
          <w:rFonts w:cs="Calibri"/>
          <w:color w:val="000000"/>
          <w:sz w:val="22"/>
        </w:rPr>
        <w:t>SYS-5019P-WTR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5375"/>
      </w:tblGrid>
      <w:tr w:rsidR="00B731DF" w:rsidRPr="00B731DF" w14:paraId="6033BD1B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BA453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Rozmiar</w:t>
            </w:r>
          </w:p>
        </w:tc>
        <w:tc>
          <w:tcPr>
            <w:tcW w:w="0" w:type="auto"/>
            <w:vAlign w:val="center"/>
            <w:hideMark/>
          </w:tcPr>
          <w:p w14:paraId="447BE602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1U Rackmount</w:t>
            </w:r>
          </w:p>
        </w:tc>
      </w:tr>
      <w:tr w:rsidR="00B731DF" w:rsidRPr="00B731DF" w14:paraId="33BFC18C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AA19B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Obudowa</w:t>
            </w:r>
          </w:p>
        </w:tc>
        <w:tc>
          <w:tcPr>
            <w:tcW w:w="0" w:type="auto"/>
            <w:vAlign w:val="center"/>
            <w:hideMark/>
          </w:tcPr>
          <w:p w14:paraId="33468742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CSE-815TQC-R504WB</w:t>
            </w:r>
          </w:p>
        </w:tc>
      </w:tr>
      <w:tr w:rsidR="00B731DF" w:rsidRPr="00B731DF" w14:paraId="3E280C04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0F824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Płyta główna</w:t>
            </w:r>
          </w:p>
        </w:tc>
        <w:tc>
          <w:tcPr>
            <w:tcW w:w="0" w:type="auto"/>
            <w:vAlign w:val="center"/>
            <w:hideMark/>
          </w:tcPr>
          <w:p w14:paraId="2EEC6694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MBD-X11SPW-TF</w:t>
            </w:r>
          </w:p>
        </w:tc>
      </w:tr>
      <w:tr w:rsidR="00B731DF" w:rsidRPr="00B731DF" w14:paraId="4A6FA5AC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1BD89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Gniazdo procesora</w:t>
            </w:r>
          </w:p>
        </w:tc>
        <w:tc>
          <w:tcPr>
            <w:tcW w:w="0" w:type="auto"/>
            <w:vAlign w:val="center"/>
            <w:hideMark/>
          </w:tcPr>
          <w:p w14:paraId="3DB10092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Single Socket P (LGA 3647)</w:t>
            </w:r>
          </w:p>
        </w:tc>
      </w:tr>
      <w:tr w:rsidR="00B731DF" w:rsidRPr="00B731DF" w14:paraId="0272009E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3A003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Obsługiwane procesory</w:t>
            </w:r>
          </w:p>
        </w:tc>
        <w:tc>
          <w:tcPr>
            <w:tcW w:w="0" w:type="auto"/>
            <w:vAlign w:val="center"/>
            <w:hideMark/>
          </w:tcPr>
          <w:p w14:paraId="2F8E557A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Intel Xeon Scalable Processors</w:t>
            </w:r>
          </w:p>
        </w:tc>
      </w:tr>
      <w:tr w:rsidR="00B731DF" w:rsidRPr="00B731DF" w14:paraId="0B87C383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E51F6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Chipset</w:t>
            </w:r>
          </w:p>
        </w:tc>
        <w:tc>
          <w:tcPr>
            <w:tcW w:w="0" w:type="auto"/>
            <w:vAlign w:val="center"/>
            <w:hideMark/>
          </w:tcPr>
          <w:p w14:paraId="70EB3CC8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Intel C622 chipset</w:t>
            </w:r>
          </w:p>
        </w:tc>
      </w:tr>
      <w:tr w:rsidR="00B731DF" w:rsidRPr="00B731DF" w14:paraId="65DCBA23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43FFE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Sloty pamięci RAM</w:t>
            </w:r>
          </w:p>
        </w:tc>
        <w:tc>
          <w:tcPr>
            <w:tcW w:w="0" w:type="auto"/>
            <w:vAlign w:val="center"/>
            <w:hideMark/>
          </w:tcPr>
          <w:p w14:paraId="0AF7F773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6 DIMM slots (DDR4)</w:t>
            </w:r>
          </w:p>
        </w:tc>
      </w:tr>
      <w:tr w:rsidR="00B731DF" w:rsidRPr="00B731DF" w14:paraId="5344C1DB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DB5DE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Obsługiwana pamięć RAM</w:t>
            </w:r>
          </w:p>
        </w:tc>
        <w:tc>
          <w:tcPr>
            <w:tcW w:w="0" w:type="auto"/>
            <w:vAlign w:val="center"/>
            <w:hideMark/>
          </w:tcPr>
          <w:p w14:paraId="5796E7BA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2666/2400/2133MHz ECC DDR4 SDRAM</w:t>
            </w:r>
          </w:p>
        </w:tc>
      </w:tr>
      <w:tr w:rsidR="00B731DF" w:rsidRPr="008C1C11" w14:paraId="15A89957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DCEFF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Max pamięć RAM</w:t>
            </w:r>
          </w:p>
        </w:tc>
        <w:tc>
          <w:tcPr>
            <w:tcW w:w="0" w:type="auto"/>
            <w:vAlign w:val="center"/>
            <w:hideMark/>
          </w:tcPr>
          <w:p w14:paraId="658AB758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>Up to 768GB ECC 3DS LRDIMM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192GB ECC RDIMM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DDR4 up to 2666MHz</w:t>
            </w:r>
          </w:p>
        </w:tc>
      </w:tr>
      <w:tr w:rsidR="00B731DF" w:rsidRPr="008C1C11" w14:paraId="1C846334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F6771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Zasilacz</w:t>
            </w:r>
          </w:p>
        </w:tc>
        <w:tc>
          <w:tcPr>
            <w:tcW w:w="0" w:type="auto"/>
            <w:vAlign w:val="center"/>
            <w:hideMark/>
          </w:tcPr>
          <w:p w14:paraId="69FFFC71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>2x 500W Redundant power supplies Platinum Level Certified</w:t>
            </w:r>
          </w:p>
        </w:tc>
      </w:tr>
      <w:tr w:rsidR="00B731DF" w:rsidRPr="008C1C11" w14:paraId="4B0022E2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E9570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BIOS</w:t>
            </w:r>
          </w:p>
        </w:tc>
        <w:tc>
          <w:tcPr>
            <w:tcW w:w="0" w:type="auto"/>
            <w:vAlign w:val="center"/>
            <w:hideMark/>
          </w:tcPr>
          <w:p w14:paraId="7F17B177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>AMI 32Mb SPI Flash ROM</w:t>
            </w:r>
          </w:p>
        </w:tc>
      </w:tr>
      <w:tr w:rsidR="00B731DF" w:rsidRPr="008C1C11" w14:paraId="7FA1EADF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70D4B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Kieszenie na dyski</w:t>
            </w:r>
          </w:p>
        </w:tc>
        <w:tc>
          <w:tcPr>
            <w:tcW w:w="0" w:type="auto"/>
            <w:vAlign w:val="center"/>
            <w:hideMark/>
          </w:tcPr>
          <w:p w14:paraId="43D5E43E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>4 Hot-swap 3.5" SATA3 drive bays</w:t>
            </w:r>
          </w:p>
        </w:tc>
      </w:tr>
      <w:tr w:rsidR="00B731DF" w:rsidRPr="008C1C11" w14:paraId="1D6418AA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C70BD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lastRenderedPageBreak/>
              <w:t>M.2</w:t>
            </w:r>
          </w:p>
        </w:tc>
        <w:tc>
          <w:tcPr>
            <w:tcW w:w="0" w:type="auto"/>
            <w:vAlign w:val="center"/>
            <w:hideMark/>
          </w:tcPr>
          <w:p w14:paraId="353DC2BA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 xml:space="preserve">M.2 Interface: PCI-E 3.0 x4 and SATA 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Form Factor: 2280, 22110</w:t>
            </w:r>
          </w:p>
        </w:tc>
      </w:tr>
      <w:tr w:rsidR="00B731DF" w:rsidRPr="008C1C11" w14:paraId="21DC68B3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F9FE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Wentylatory</w:t>
            </w:r>
          </w:p>
        </w:tc>
        <w:tc>
          <w:tcPr>
            <w:tcW w:w="0" w:type="auto"/>
            <w:vAlign w:val="center"/>
            <w:hideMark/>
          </w:tcPr>
          <w:p w14:paraId="070D3CA6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 xml:space="preserve">5 Counter-rotation 40x56mm PWM fans 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1 fan for AOC cooling (option)</w:t>
            </w:r>
          </w:p>
        </w:tc>
      </w:tr>
      <w:tr w:rsidR="00B731DF" w:rsidRPr="00B731DF" w14:paraId="04A0A2A4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95DF1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Porty SATA</w:t>
            </w:r>
          </w:p>
        </w:tc>
        <w:tc>
          <w:tcPr>
            <w:tcW w:w="0" w:type="auto"/>
            <w:vAlign w:val="center"/>
            <w:hideMark/>
          </w:tcPr>
          <w:p w14:paraId="3F85A1E5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10 SATA3 (6Gbps) ports</w:t>
            </w:r>
          </w:p>
        </w:tc>
      </w:tr>
      <w:tr w:rsidR="00B731DF" w:rsidRPr="008C1C11" w14:paraId="61B83528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C15E4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Karta sieciowa</w:t>
            </w:r>
          </w:p>
        </w:tc>
        <w:tc>
          <w:tcPr>
            <w:tcW w:w="0" w:type="auto"/>
            <w:vAlign w:val="center"/>
            <w:hideMark/>
          </w:tcPr>
          <w:p w14:paraId="16309B08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>Dual 10GBase-T LAN with Intel X772 + X557</w:t>
            </w:r>
          </w:p>
        </w:tc>
      </w:tr>
      <w:tr w:rsidR="00B731DF" w:rsidRPr="008C1C11" w14:paraId="365BE60F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C22A9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LAN</w:t>
            </w:r>
          </w:p>
        </w:tc>
        <w:tc>
          <w:tcPr>
            <w:tcW w:w="0" w:type="auto"/>
            <w:vAlign w:val="center"/>
            <w:hideMark/>
          </w:tcPr>
          <w:p w14:paraId="022A9327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 xml:space="preserve">2 RJ45 10GBase-T ports 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1 RJ45 Dedicated IPMI LAN port</w:t>
            </w:r>
          </w:p>
        </w:tc>
      </w:tr>
      <w:tr w:rsidR="00B731DF" w:rsidRPr="008C1C11" w14:paraId="4EE6B70E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58B57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Porty USB</w:t>
            </w:r>
          </w:p>
        </w:tc>
        <w:tc>
          <w:tcPr>
            <w:tcW w:w="0" w:type="auto"/>
            <w:vAlign w:val="center"/>
            <w:hideMark/>
          </w:tcPr>
          <w:p w14:paraId="4A0F7ACC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 xml:space="preserve">2 USB 3.0 ports (rear) 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2 USB 2.0 ports (rear)</w:t>
            </w:r>
          </w:p>
        </w:tc>
      </w:tr>
      <w:tr w:rsidR="00B731DF" w:rsidRPr="00B731DF" w14:paraId="68F0F6B1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970DA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Video</w:t>
            </w:r>
          </w:p>
        </w:tc>
        <w:tc>
          <w:tcPr>
            <w:tcW w:w="0" w:type="auto"/>
            <w:vAlign w:val="center"/>
            <w:hideMark/>
          </w:tcPr>
          <w:p w14:paraId="793B09B9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B731DF">
              <w:rPr>
                <w:rFonts w:cs="Calibri"/>
                <w:color w:val="000000"/>
                <w:sz w:val="22"/>
              </w:rPr>
              <w:t>1 VGA port</w:t>
            </w:r>
          </w:p>
        </w:tc>
      </w:tr>
      <w:tr w:rsidR="00B731DF" w:rsidRPr="008C1C11" w14:paraId="727AF6EA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4C122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DOM</w:t>
            </w:r>
          </w:p>
        </w:tc>
        <w:tc>
          <w:tcPr>
            <w:tcW w:w="0" w:type="auto"/>
            <w:vAlign w:val="center"/>
            <w:hideMark/>
          </w:tcPr>
          <w:p w14:paraId="25E23794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>2 SuperDOM (Disk on Module) ports with built-in power</w:t>
            </w:r>
          </w:p>
        </w:tc>
      </w:tr>
      <w:tr w:rsidR="00B731DF" w:rsidRPr="008C1C11" w14:paraId="13E340D1" w14:textId="77777777" w:rsidTr="00B731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F5A27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B731DF">
              <w:rPr>
                <w:rFonts w:cs="Calibri"/>
                <w:b/>
                <w:bCs/>
                <w:color w:val="000000"/>
                <w:sz w:val="22"/>
              </w:rPr>
              <w:t>Sloty PCI-e</w:t>
            </w:r>
          </w:p>
        </w:tc>
        <w:tc>
          <w:tcPr>
            <w:tcW w:w="0" w:type="auto"/>
            <w:vAlign w:val="center"/>
            <w:hideMark/>
          </w:tcPr>
          <w:p w14:paraId="4F1280C7" w14:textId="77777777" w:rsidR="00B731DF" w:rsidRPr="00B731DF" w:rsidRDefault="00B731DF" w:rsidP="00B731DF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  <w:lang w:val="en-GB"/>
              </w:rPr>
            </w:pPr>
            <w:r w:rsidRPr="00B731DF">
              <w:rPr>
                <w:rFonts w:cs="Calibri"/>
                <w:color w:val="000000"/>
                <w:sz w:val="22"/>
                <w:lang w:val="en-GB"/>
              </w:rPr>
              <w:t xml:space="preserve">2 PCI-E 3.0 x16 (FHFL) slots </w:t>
            </w:r>
            <w:r w:rsidRPr="00B731DF">
              <w:rPr>
                <w:rFonts w:cs="Calibri"/>
                <w:color w:val="000000"/>
                <w:sz w:val="22"/>
                <w:lang w:val="en-GB"/>
              </w:rPr>
              <w:br/>
              <w:t>1 PCI-E 3.0 x8 (LP) slot</w:t>
            </w:r>
          </w:p>
        </w:tc>
      </w:tr>
    </w:tbl>
    <w:p w14:paraId="1DABD421" w14:textId="77777777" w:rsidR="00B731DF" w:rsidRPr="00B731DF" w:rsidRDefault="00B731DF" w:rsidP="00B731DF">
      <w:pPr>
        <w:spacing w:after="0" w:line="360" w:lineRule="auto"/>
        <w:jc w:val="left"/>
        <w:rPr>
          <w:rFonts w:cs="Calibri"/>
          <w:color w:val="000000"/>
          <w:sz w:val="22"/>
          <w:lang w:val="en-GB"/>
        </w:rPr>
      </w:pPr>
    </w:p>
    <w:p w14:paraId="153F177B" w14:textId="50150DCB" w:rsidR="00B731DF" w:rsidRDefault="00B731DF" w:rsidP="00B731DF">
      <w:pPr>
        <w:spacing w:after="0" w:line="360" w:lineRule="auto"/>
        <w:jc w:val="left"/>
        <w:rPr>
          <w:rFonts w:cs="Calibri"/>
          <w:color w:val="000000"/>
          <w:sz w:val="22"/>
          <w:lang w:val="en-GB"/>
        </w:rPr>
      </w:pPr>
      <w:r>
        <w:rPr>
          <w:rFonts w:cs="Calibri"/>
          <w:color w:val="000000"/>
          <w:sz w:val="22"/>
          <w:lang w:val="en-GB"/>
        </w:rPr>
        <w:t>2. Wyposażenie;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395"/>
        <w:gridCol w:w="1229"/>
      </w:tblGrid>
      <w:tr w:rsidR="004D7875" w:rsidRPr="00B731DF" w14:paraId="552ADB87" w14:textId="77777777" w:rsidTr="00EC1675">
        <w:trPr>
          <w:tblCellSpacing w:w="15" w:type="dxa"/>
        </w:trPr>
        <w:tc>
          <w:tcPr>
            <w:tcW w:w="0" w:type="auto"/>
            <w:vAlign w:val="center"/>
          </w:tcPr>
          <w:p w14:paraId="0D52A52B" w14:textId="77777777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65" w:type="dxa"/>
            <w:vAlign w:val="center"/>
          </w:tcPr>
          <w:p w14:paraId="36970DDB" w14:textId="77777777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184" w:type="dxa"/>
          </w:tcPr>
          <w:p w14:paraId="5BFB5CFA" w14:textId="3104E1CA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Liczba</w:t>
            </w:r>
          </w:p>
        </w:tc>
      </w:tr>
      <w:tr w:rsidR="004D7875" w:rsidRPr="00B731DF" w14:paraId="588D7B1A" w14:textId="78D2BDC4" w:rsidTr="00EC16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A70E0" w14:textId="72EBCE34" w:rsidR="004D7875" w:rsidRPr="00B731DF" w:rsidRDefault="00EC1675" w:rsidP="005A4F8A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Procesor</w:t>
            </w:r>
            <w:r w:rsidRPr="00EC1675">
              <w:rPr>
                <w:rFonts w:cs="Calibri"/>
                <w:b/>
                <w:bCs/>
                <w:color w:val="000000"/>
                <w:sz w:val="22"/>
              </w:rPr>
              <w:t xml:space="preserve"> Intel® Xeon® Scalable</w:t>
            </w:r>
          </w:p>
        </w:tc>
        <w:tc>
          <w:tcPr>
            <w:tcW w:w="3365" w:type="dxa"/>
            <w:vAlign w:val="center"/>
            <w:hideMark/>
          </w:tcPr>
          <w:p w14:paraId="03290ABC" w14:textId="7276547D" w:rsidR="004D7875" w:rsidRPr="00B731DF" w:rsidRDefault="00EC1675" w:rsidP="00EC1675">
            <w:pPr>
              <w:spacing w:after="0" w:line="360" w:lineRule="auto"/>
              <w:rPr>
                <w:rFonts w:cs="Calibri"/>
                <w:color w:val="000000"/>
                <w:sz w:val="22"/>
              </w:rPr>
            </w:pPr>
            <w:r w:rsidRPr="00EC1675">
              <w:rPr>
                <w:rFonts w:cs="Calibri"/>
                <w:color w:val="000000"/>
                <w:sz w:val="22"/>
              </w:rPr>
              <w:t>Silver 4208 8 rdzeni/16 wątków 2.1GHz 11MB cache</w:t>
            </w:r>
          </w:p>
        </w:tc>
        <w:tc>
          <w:tcPr>
            <w:tcW w:w="1184" w:type="dxa"/>
          </w:tcPr>
          <w:p w14:paraId="47C70DBA" w14:textId="40942F21" w:rsidR="004D7875" w:rsidRPr="00B731DF" w:rsidRDefault="00EC1675" w:rsidP="00CD66AF">
            <w:pPr>
              <w:spacing w:after="0" w:line="360" w:lineRule="auto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4D7875" w:rsidRPr="00B731DF" w14:paraId="3A700AB8" w14:textId="3A66666C" w:rsidTr="00EC16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8861D" w14:textId="2F400AF1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Pamięć 64GB</w:t>
            </w:r>
            <w:r w:rsidR="00CD66AF">
              <w:rPr>
                <w:rFonts w:cs="Calibri"/>
                <w:b/>
                <w:bCs/>
                <w:color w:val="000000"/>
                <w:sz w:val="22"/>
              </w:rPr>
              <w:t xml:space="preserve"> (2*32)</w:t>
            </w:r>
          </w:p>
        </w:tc>
        <w:tc>
          <w:tcPr>
            <w:tcW w:w="3365" w:type="dxa"/>
            <w:vAlign w:val="center"/>
            <w:hideMark/>
          </w:tcPr>
          <w:p w14:paraId="2FFDE612" w14:textId="5AA29913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Style w:val="nazwaprod"/>
              </w:rPr>
              <w:t>Hynix 32GB DDR4-2933 2Rx4 ECC REG DIMM</w:t>
            </w:r>
          </w:p>
        </w:tc>
        <w:tc>
          <w:tcPr>
            <w:tcW w:w="1184" w:type="dxa"/>
          </w:tcPr>
          <w:p w14:paraId="05740C83" w14:textId="2356C093" w:rsidR="004D7875" w:rsidRDefault="004D7875" w:rsidP="00CD66AF">
            <w:pPr>
              <w:spacing w:after="0" w:line="360" w:lineRule="auto"/>
              <w:jc w:val="center"/>
              <w:rPr>
                <w:rStyle w:val="nazwaprod"/>
              </w:rPr>
            </w:pPr>
            <w:r>
              <w:rPr>
                <w:rStyle w:val="nazwaprod"/>
              </w:rPr>
              <w:t>2</w:t>
            </w:r>
          </w:p>
        </w:tc>
      </w:tr>
      <w:tr w:rsidR="004D7875" w:rsidRPr="00B731DF" w14:paraId="279F0D1E" w14:textId="5010B7CF" w:rsidTr="00EC16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807F0" w14:textId="46F0908C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Dyski SATA 2TB</w:t>
            </w:r>
          </w:p>
        </w:tc>
        <w:tc>
          <w:tcPr>
            <w:tcW w:w="3365" w:type="dxa"/>
            <w:vAlign w:val="center"/>
            <w:hideMark/>
          </w:tcPr>
          <w:p w14:paraId="07356CE4" w14:textId="4E226DF3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>
              <w:t>Toshiba 3.5" 2TB SATA 6Gb/s 7.2K RPM 128M 512E</w:t>
            </w:r>
          </w:p>
        </w:tc>
        <w:tc>
          <w:tcPr>
            <w:tcW w:w="1184" w:type="dxa"/>
          </w:tcPr>
          <w:p w14:paraId="2C685F36" w14:textId="19E0DC85" w:rsidR="004D7875" w:rsidRDefault="004D7875" w:rsidP="00CD66AF">
            <w:pPr>
              <w:spacing w:after="0" w:line="360" w:lineRule="auto"/>
              <w:jc w:val="center"/>
            </w:pPr>
            <w:r>
              <w:t>2</w:t>
            </w:r>
          </w:p>
        </w:tc>
      </w:tr>
      <w:tr w:rsidR="004D7875" w:rsidRPr="00B731DF" w14:paraId="7AA88B6F" w14:textId="3B195A62" w:rsidTr="00EC16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70AC6" w14:textId="15E63243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Dyski SATA 12TB</w:t>
            </w:r>
          </w:p>
        </w:tc>
        <w:tc>
          <w:tcPr>
            <w:tcW w:w="3365" w:type="dxa"/>
            <w:vAlign w:val="center"/>
            <w:hideMark/>
          </w:tcPr>
          <w:p w14:paraId="3DF4FD5C" w14:textId="55AF755D" w:rsidR="004D7875" w:rsidRPr="00B731DF" w:rsidRDefault="004D7875" w:rsidP="005A4F8A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Style w:val="nazwaprod"/>
              </w:rPr>
              <w:t>Toshiba 3.5'' 12TB 7.2K RPM SATA 6Gb/s 256M 512e</w:t>
            </w:r>
          </w:p>
        </w:tc>
        <w:tc>
          <w:tcPr>
            <w:tcW w:w="1184" w:type="dxa"/>
          </w:tcPr>
          <w:p w14:paraId="56AD2B2E" w14:textId="1DE76D53" w:rsidR="004D7875" w:rsidRPr="00B731DF" w:rsidRDefault="004D7875" w:rsidP="00CD66AF">
            <w:pPr>
              <w:spacing w:after="0" w:line="360" w:lineRule="auto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4D7875" w:rsidRPr="00B731DF" w14:paraId="0400BE8E" w14:textId="4C5E6BC9" w:rsidTr="00EC16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A1970" w14:textId="63C46F8F" w:rsidR="004D7875" w:rsidRPr="00B731DF" w:rsidRDefault="00EC1675" w:rsidP="005A4F8A">
            <w:pPr>
              <w:spacing w:after="0" w:line="360" w:lineRule="auto"/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lastRenderedPageBreak/>
              <w:t>Dysk SSD 0,96 TB</w:t>
            </w:r>
          </w:p>
        </w:tc>
        <w:tc>
          <w:tcPr>
            <w:tcW w:w="3365" w:type="dxa"/>
            <w:vAlign w:val="center"/>
            <w:hideMark/>
          </w:tcPr>
          <w:p w14:paraId="4BAE97C2" w14:textId="15BAD2E1" w:rsidR="004D7875" w:rsidRPr="00B731DF" w:rsidRDefault="00EC1675" w:rsidP="005A4F8A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EC1675">
              <w:rPr>
                <w:rFonts w:cs="Calibri"/>
                <w:color w:val="000000"/>
                <w:sz w:val="22"/>
              </w:rPr>
              <w:t>Samsung PM883 960GB SATA 6Gb/s V4 TLC 2.5" 7mm (1.3 DWPD)</w:t>
            </w:r>
          </w:p>
        </w:tc>
        <w:tc>
          <w:tcPr>
            <w:tcW w:w="1184" w:type="dxa"/>
          </w:tcPr>
          <w:p w14:paraId="5D59E352" w14:textId="01F8A176" w:rsidR="004D7875" w:rsidRPr="00B731DF" w:rsidRDefault="00EC1675" w:rsidP="00CD66AF">
            <w:pPr>
              <w:spacing w:after="0" w:line="360" w:lineRule="auto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</w:tr>
    </w:tbl>
    <w:p w14:paraId="52BF0E8B" w14:textId="40DD01FD" w:rsidR="004D7875" w:rsidRPr="00B731DF" w:rsidRDefault="004D7875" w:rsidP="00EC1675">
      <w:pPr>
        <w:spacing w:after="0" w:line="360" w:lineRule="auto"/>
        <w:jc w:val="left"/>
        <w:rPr>
          <w:rFonts w:cs="Calibri"/>
          <w:color w:val="000000"/>
          <w:sz w:val="22"/>
          <w:lang w:val="en-GB"/>
        </w:rPr>
      </w:pPr>
    </w:p>
    <w:sectPr w:rsidR="004D7875" w:rsidRPr="00B731DF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4470" w14:textId="77777777" w:rsidR="00E10604" w:rsidRDefault="00E10604" w:rsidP="006747BD">
      <w:pPr>
        <w:spacing w:after="0" w:line="240" w:lineRule="auto"/>
      </w:pPr>
      <w:r>
        <w:separator/>
      </w:r>
    </w:p>
  </w:endnote>
  <w:endnote w:type="continuationSeparator" w:id="0">
    <w:p w14:paraId="62741416" w14:textId="77777777" w:rsidR="00E10604" w:rsidRDefault="00E1060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3E47" w14:textId="77777777" w:rsidR="00E10604" w:rsidRDefault="00E10604" w:rsidP="006747BD">
      <w:pPr>
        <w:spacing w:after="0" w:line="240" w:lineRule="auto"/>
      </w:pPr>
      <w:r>
        <w:separator/>
      </w:r>
    </w:p>
  </w:footnote>
  <w:footnote w:type="continuationSeparator" w:id="0">
    <w:p w14:paraId="792610B0" w14:textId="77777777" w:rsidR="00E10604" w:rsidRDefault="00E1060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9578B7"/>
    <w:multiLevelType w:val="hybridMultilevel"/>
    <w:tmpl w:val="B35EC55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016A0"/>
    <w:multiLevelType w:val="hybridMultilevel"/>
    <w:tmpl w:val="2D7EA364"/>
    <w:lvl w:ilvl="0" w:tplc="87F673FA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050768E"/>
    <w:multiLevelType w:val="hybridMultilevel"/>
    <w:tmpl w:val="0016B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55E2D"/>
    <w:multiLevelType w:val="hybridMultilevel"/>
    <w:tmpl w:val="829613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24B13"/>
    <w:multiLevelType w:val="hybridMultilevel"/>
    <w:tmpl w:val="C480D9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B7633"/>
    <w:multiLevelType w:val="hybridMultilevel"/>
    <w:tmpl w:val="DDE8A032"/>
    <w:lvl w:ilvl="0" w:tplc="87F673FA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8"/>
  </w:num>
  <w:num w:numId="12" w16cid:durableId="1517033650">
    <w:abstractNumId w:val="18"/>
  </w:num>
  <w:num w:numId="13" w16cid:durableId="1243753621">
    <w:abstractNumId w:val="35"/>
  </w:num>
  <w:num w:numId="14" w16cid:durableId="1627736718">
    <w:abstractNumId w:val="34"/>
  </w:num>
  <w:num w:numId="15" w16cid:durableId="997339940">
    <w:abstractNumId w:val="36"/>
  </w:num>
  <w:num w:numId="16" w16cid:durableId="1268733396">
    <w:abstractNumId w:val="17"/>
  </w:num>
  <w:num w:numId="17" w16cid:durableId="1563832377">
    <w:abstractNumId w:val="29"/>
  </w:num>
  <w:num w:numId="18" w16cid:durableId="976225718">
    <w:abstractNumId w:val="30"/>
  </w:num>
  <w:num w:numId="19" w16cid:durableId="1462651102">
    <w:abstractNumId w:val="22"/>
  </w:num>
  <w:num w:numId="20" w16cid:durableId="1436099457">
    <w:abstractNumId w:val="32"/>
  </w:num>
  <w:num w:numId="21" w16cid:durableId="199978968">
    <w:abstractNumId w:val="10"/>
  </w:num>
  <w:num w:numId="22" w16cid:durableId="1085225803">
    <w:abstractNumId w:val="15"/>
  </w:num>
  <w:num w:numId="23" w16cid:durableId="1128357272">
    <w:abstractNumId w:val="21"/>
  </w:num>
  <w:num w:numId="24" w16cid:durableId="2119182679">
    <w:abstractNumId w:val="19"/>
  </w:num>
  <w:num w:numId="25" w16cid:durableId="1683386706">
    <w:abstractNumId w:val="14"/>
  </w:num>
  <w:num w:numId="26" w16cid:durableId="1910067087">
    <w:abstractNumId w:val="25"/>
  </w:num>
  <w:num w:numId="27" w16cid:durableId="299919095">
    <w:abstractNumId w:val="27"/>
  </w:num>
  <w:num w:numId="28" w16cid:durableId="777943653">
    <w:abstractNumId w:val="12"/>
  </w:num>
  <w:num w:numId="29" w16cid:durableId="311297155">
    <w:abstractNumId w:val="23"/>
  </w:num>
  <w:num w:numId="30" w16cid:durableId="1282154281">
    <w:abstractNumId w:val="16"/>
  </w:num>
  <w:num w:numId="31" w16cid:durableId="1453327222">
    <w:abstractNumId w:val="33"/>
  </w:num>
  <w:num w:numId="32" w16cid:durableId="1264918025">
    <w:abstractNumId w:val="11"/>
  </w:num>
  <w:num w:numId="33" w16cid:durableId="2013332979">
    <w:abstractNumId w:val="31"/>
  </w:num>
  <w:num w:numId="34" w16cid:durableId="610011825">
    <w:abstractNumId w:val="26"/>
  </w:num>
  <w:num w:numId="35" w16cid:durableId="1366174487">
    <w:abstractNumId w:val="13"/>
  </w:num>
  <w:num w:numId="36" w16cid:durableId="2016303261">
    <w:abstractNumId w:val="24"/>
  </w:num>
  <w:num w:numId="37" w16cid:durableId="1128087300">
    <w:abstractNumId w:val="37"/>
  </w:num>
  <w:num w:numId="38" w16cid:durableId="927465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1E2F"/>
    <w:rsid w:val="00043E3D"/>
    <w:rsid w:val="00046D64"/>
    <w:rsid w:val="00070438"/>
    <w:rsid w:val="00076E89"/>
    <w:rsid w:val="00077546"/>
    <w:rsid w:val="00077647"/>
    <w:rsid w:val="000A29CF"/>
    <w:rsid w:val="000B4263"/>
    <w:rsid w:val="000B72DB"/>
    <w:rsid w:val="000C31FB"/>
    <w:rsid w:val="000C7545"/>
    <w:rsid w:val="000F65E2"/>
    <w:rsid w:val="001012CB"/>
    <w:rsid w:val="00121390"/>
    <w:rsid w:val="00134079"/>
    <w:rsid w:val="0015406A"/>
    <w:rsid w:val="00154D3D"/>
    <w:rsid w:val="00172309"/>
    <w:rsid w:val="001731BC"/>
    <w:rsid w:val="001732A9"/>
    <w:rsid w:val="00177C68"/>
    <w:rsid w:val="001B5C9D"/>
    <w:rsid w:val="001C3543"/>
    <w:rsid w:val="001D1638"/>
    <w:rsid w:val="001D433E"/>
    <w:rsid w:val="001E2B9D"/>
    <w:rsid w:val="0022163E"/>
    <w:rsid w:val="002262DB"/>
    <w:rsid w:val="00231524"/>
    <w:rsid w:val="00240DAF"/>
    <w:rsid w:val="002552D2"/>
    <w:rsid w:val="002709BC"/>
    <w:rsid w:val="002753D2"/>
    <w:rsid w:val="00296127"/>
    <w:rsid w:val="002D456C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175C"/>
    <w:rsid w:val="003F4BA3"/>
    <w:rsid w:val="00461EDA"/>
    <w:rsid w:val="004958DE"/>
    <w:rsid w:val="004A3CA6"/>
    <w:rsid w:val="004A4E29"/>
    <w:rsid w:val="004C5E07"/>
    <w:rsid w:val="004D7875"/>
    <w:rsid w:val="004E1BFD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C626F"/>
    <w:rsid w:val="006D6DE5"/>
    <w:rsid w:val="006E0215"/>
    <w:rsid w:val="006E5990"/>
    <w:rsid w:val="00703235"/>
    <w:rsid w:val="00704EC2"/>
    <w:rsid w:val="00743645"/>
    <w:rsid w:val="0074602E"/>
    <w:rsid w:val="0077437F"/>
    <w:rsid w:val="007835D8"/>
    <w:rsid w:val="007A3B7A"/>
    <w:rsid w:val="007B6228"/>
    <w:rsid w:val="00805DF6"/>
    <w:rsid w:val="008130FD"/>
    <w:rsid w:val="00821F16"/>
    <w:rsid w:val="00832414"/>
    <w:rsid w:val="008368C0"/>
    <w:rsid w:val="0084396A"/>
    <w:rsid w:val="008442ED"/>
    <w:rsid w:val="00854B7B"/>
    <w:rsid w:val="008709B3"/>
    <w:rsid w:val="00880BA2"/>
    <w:rsid w:val="0089415F"/>
    <w:rsid w:val="008B5A31"/>
    <w:rsid w:val="008C1729"/>
    <w:rsid w:val="008C1C11"/>
    <w:rsid w:val="008C75DD"/>
    <w:rsid w:val="008F209D"/>
    <w:rsid w:val="009011A1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F686A"/>
    <w:rsid w:val="00A02F38"/>
    <w:rsid w:val="00A072D1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932FB"/>
    <w:rsid w:val="00AA333D"/>
    <w:rsid w:val="00AB0D22"/>
    <w:rsid w:val="00AF0EA5"/>
    <w:rsid w:val="00B1054A"/>
    <w:rsid w:val="00B47EC5"/>
    <w:rsid w:val="00B55594"/>
    <w:rsid w:val="00B61F8A"/>
    <w:rsid w:val="00B731DF"/>
    <w:rsid w:val="00B74373"/>
    <w:rsid w:val="00B75BBF"/>
    <w:rsid w:val="00B976DD"/>
    <w:rsid w:val="00BD109B"/>
    <w:rsid w:val="00BD6728"/>
    <w:rsid w:val="00BE07DE"/>
    <w:rsid w:val="00C01B2B"/>
    <w:rsid w:val="00C736D5"/>
    <w:rsid w:val="00C73D29"/>
    <w:rsid w:val="00CA2F78"/>
    <w:rsid w:val="00CD66AF"/>
    <w:rsid w:val="00D005B3"/>
    <w:rsid w:val="00D06D36"/>
    <w:rsid w:val="00D40690"/>
    <w:rsid w:val="00D51361"/>
    <w:rsid w:val="00D63EAB"/>
    <w:rsid w:val="00D75ADA"/>
    <w:rsid w:val="00D75EC6"/>
    <w:rsid w:val="00D956DC"/>
    <w:rsid w:val="00D96632"/>
    <w:rsid w:val="00DA52A1"/>
    <w:rsid w:val="00DA71AB"/>
    <w:rsid w:val="00DC46E5"/>
    <w:rsid w:val="00DD3A92"/>
    <w:rsid w:val="00DF61EB"/>
    <w:rsid w:val="00E10604"/>
    <w:rsid w:val="00E57495"/>
    <w:rsid w:val="00E65BC8"/>
    <w:rsid w:val="00E65E64"/>
    <w:rsid w:val="00EC071A"/>
    <w:rsid w:val="00EC1675"/>
    <w:rsid w:val="00EE493C"/>
    <w:rsid w:val="00EE7A4A"/>
    <w:rsid w:val="00F5350F"/>
    <w:rsid w:val="00F63B5B"/>
    <w:rsid w:val="00FB0659"/>
    <w:rsid w:val="00FD5772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character" w:customStyle="1" w:styleId="nazwaprod">
    <w:name w:val="nazwa_prod"/>
    <w:basedOn w:val="Domylnaczcionkaakapitu"/>
    <w:rsid w:val="004D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248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19</cp:revision>
  <cp:lastPrinted>2023-02-27T12:31:00Z</cp:lastPrinted>
  <dcterms:created xsi:type="dcterms:W3CDTF">2022-11-17T08:55:00Z</dcterms:created>
  <dcterms:modified xsi:type="dcterms:W3CDTF">2023-02-27T12:34:00Z</dcterms:modified>
</cp:coreProperties>
</file>