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E61C" w14:textId="77777777" w:rsidR="00513864" w:rsidRDefault="00513864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42A6A04E" w14:textId="77777777" w:rsidR="00513864" w:rsidRDefault="00513864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0D60ABE7" w14:textId="77777777" w:rsidR="00513864" w:rsidRPr="007D5623" w:rsidRDefault="00C623DC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6269F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90.75pt">
            <v:imagedata r:id="rId7" o:title=""/>
          </v:shape>
        </w:pict>
      </w:r>
    </w:p>
    <w:p w14:paraId="50AF6F0B" w14:textId="77777777" w:rsidR="00513864" w:rsidRPr="007D5623" w:rsidRDefault="00C623DC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15CB5C05">
          <v:line id="_x0000_s1026" style="position:absolute;z-index:251658240" from="-9.7pt,2.95pt" to="499.55pt,2.95pt"/>
        </w:pict>
      </w:r>
    </w:p>
    <w:p w14:paraId="7543E6B0" w14:textId="77777777" w:rsidR="00513864" w:rsidRPr="007D5623" w:rsidRDefault="00513864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dn. </w:t>
      </w:r>
      <w:r w:rsidRPr="002665CF">
        <w:rPr>
          <w:rFonts w:ascii="Arial" w:hAnsi="Arial" w:cs="Arial"/>
          <w:sz w:val="20"/>
          <w:szCs w:val="20"/>
        </w:rPr>
        <w:t>11.08.22 r</w:t>
      </w:r>
      <w:r w:rsidRPr="007D5623">
        <w:rPr>
          <w:rFonts w:ascii="Arial" w:hAnsi="Arial" w:cs="Arial"/>
          <w:sz w:val="20"/>
          <w:szCs w:val="20"/>
        </w:rPr>
        <w:t>.</w:t>
      </w:r>
    </w:p>
    <w:p w14:paraId="48F5EB24" w14:textId="77777777" w:rsidR="00513864" w:rsidRPr="007D5623" w:rsidRDefault="00513864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14:paraId="1D4AB200" w14:textId="77777777" w:rsidR="00513864" w:rsidRPr="007D5623" w:rsidRDefault="00513864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14:paraId="559B6F62" w14:textId="77777777" w:rsidR="00513864" w:rsidRPr="007D5623" w:rsidRDefault="00513864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14:paraId="470CE415" w14:textId="77777777" w:rsidR="00513864" w:rsidRPr="007D5623" w:rsidRDefault="00513864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14:paraId="5496DF88" w14:textId="77777777" w:rsidR="00513864" w:rsidRPr="007D5623" w:rsidRDefault="00513864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14:paraId="3B0A3F72" w14:textId="77777777" w:rsidR="00513864" w:rsidRPr="007D5623" w:rsidRDefault="00513864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faks: + 48 22 619 25 12</w:t>
      </w:r>
    </w:p>
    <w:p w14:paraId="1330C67E" w14:textId="77777777" w:rsidR="00513864" w:rsidRPr="007D5623" w:rsidRDefault="00C623DC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513864" w:rsidRPr="007D5623">
          <w:rPr>
            <w:rStyle w:val="Hipercze"/>
            <w:rFonts w:ascii="Arial" w:hAnsi="Arial" w:cs="Arial"/>
            <w:sz w:val="22"/>
            <w:szCs w:val="22"/>
          </w:rPr>
          <w:t>michal.kalicki@itr.lukasiewicz.gov.pl</w:t>
        </w:r>
      </w:hyperlink>
      <w:r w:rsidR="00513864" w:rsidRPr="007D5623">
        <w:rPr>
          <w:rFonts w:ascii="Arial" w:hAnsi="Arial" w:cs="Arial"/>
          <w:sz w:val="22"/>
          <w:szCs w:val="22"/>
        </w:rPr>
        <w:t xml:space="preserve"> </w:t>
      </w:r>
    </w:p>
    <w:p w14:paraId="513B8D97" w14:textId="77777777" w:rsidR="00513864" w:rsidRPr="007D5623" w:rsidRDefault="00C623DC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513864" w:rsidRPr="007D5623">
          <w:rPr>
            <w:rStyle w:val="Hipercze"/>
            <w:rFonts w:ascii="Arial" w:hAnsi="Arial" w:cs="Arial"/>
            <w:sz w:val="22"/>
            <w:szCs w:val="22"/>
          </w:rPr>
          <w:t>www.itr.org.pl</w:t>
        </w:r>
      </w:hyperlink>
    </w:p>
    <w:p w14:paraId="74B3AE12" w14:textId="77777777" w:rsidR="00513864" w:rsidRPr="007D5623" w:rsidRDefault="00513864" w:rsidP="006E56B4">
      <w:pPr>
        <w:jc w:val="both"/>
        <w:rPr>
          <w:rFonts w:ascii="Arial" w:hAnsi="Arial" w:cs="Arial"/>
          <w:sz w:val="22"/>
          <w:szCs w:val="22"/>
        </w:rPr>
      </w:pPr>
    </w:p>
    <w:p w14:paraId="2C29EF09" w14:textId="77777777" w:rsidR="00513864" w:rsidRPr="007D5623" w:rsidRDefault="00513864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2665CF">
        <w:rPr>
          <w:rFonts w:ascii="Arial" w:hAnsi="Arial" w:cs="Arial"/>
          <w:b/>
          <w:sz w:val="22"/>
          <w:szCs w:val="22"/>
        </w:rPr>
        <w:t>047/EZ/2022</w:t>
      </w:r>
    </w:p>
    <w:p w14:paraId="5FC407E8" w14:textId="77777777" w:rsidR="00513864" w:rsidRPr="007D5623" w:rsidRDefault="00513864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>
        <w:rPr>
          <w:bCs/>
          <w:sz w:val="26"/>
          <w:szCs w:val="26"/>
        </w:rPr>
        <w:t>elementów elektronicznych</w:t>
      </w:r>
      <w:r w:rsidRPr="007D5623">
        <w:rPr>
          <w:bCs/>
          <w:sz w:val="26"/>
          <w:szCs w:val="26"/>
        </w:rPr>
        <w:t xml:space="preserve"> </w:t>
      </w:r>
      <w:r w:rsidRPr="007D5623">
        <w:rPr>
          <w:rFonts w:ascii="Arial" w:hAnsi="Arial" w:cs="Arial"/>
          <w:sz w:val="21"/>
          <w:szCs w:val="21"/>
        </w:rPr>
        <w:t>)</w:t>
      </w:r>
    </w:p>
    <w:p w14:paraId="7E702EBD" w14:textId="77777777" w:rsidR="00513864" w:rsidRPr="007D5623" w:rsidRDefault="00513864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30BDF23C" w14:textId="77777777" w:rsidR="00513864" w:rsidRPr="007D5623" w:rsidRDefault="00513864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14:paraId="0202BF18" w14:textId="77777777" w:rsidR="00513864" w:rsidRDefault="00513864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14:paraId="3E69A049" w14:textId="77777777" w:rsidR="00513864" w:rsidRPr="007E6E67" w:rsidRDefault="00513864" w:rsidP="00AD65A7">
      <w:pPr>
        <w:spacing w:line="360" w:lineRule="auto"/>
        <w:ind w:firstLine="288"/>
        <w:jc w:val="center"/>
        <w:rPr>
          <w:rFonts w:ascii="Arial" w:hAnsi="Arial" w:cs="Arial"/>
          <w:b/>
          <w:sz w:val="22"/>
          <w:szCs w:val="22"/>
        </w:rPr>
      </w:pPr>
      <w:r w:rsidRPr="007E6E67">
        <w:rPr>
          <w:rFonts w:ascii="Arial" w:hAnsi="Arial" w:cs="Arial"/>
          <w:b/>
          <w:sz w:val="22"/>
          <w:szCs w:val="22"/>
        </w:rPr>
        <w:t>Elementów elektronicznych wg załącznika nr  1 ( formularz oferty)</w:t>
      </w:r>
    </w:p>
    <w:p w14:paraId="7536DC92" w14:textId="77777777" w:rsidR="00513864" w:rsidRPr="007D5623" w:rsidRDefault="00513864" w:rsidP="00AD65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B8CBE4" w14:textId="77777777" w:rsidR="00513864" w:rsidRDefault="00513864" w:rsidP="00AD65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według kodów CPV: </w:t>
      </w:r>
    </w:p>
    <w:p w14:paraId="5072D799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 xml:space="preserve">31211300-1 - bezpieczniki </w:t>
      </w:r>
    </w:p>
    <w:p w14:paraId="60C5E664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31300000-9 - drut i kabel izolowany</w:t>
      </w:r>
    </w:p>
    <w:p w14:paraId="2324740E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31340000-1 - akcesoria do kabli izolowanych</w:t>
      </w:r>
    </w:p>
    <w:p w14:paraId="4884FBE0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31711100-4 - elektroniczne elementy składowe</w:t>
      </w:r>
    </w:p>
    <w:p w14:paraId="30BFA275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31711110-7 - przekaźniki</w:t>
      </w:r>
    </w:p>
    <w:p w14:paraId="42C8336D" w14:textId="08E6D623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31711150-9 - kondensatory elektr</w:t>
      </w:r>
      <w:r w:rsidR="00C623DC">
        <w:rPr>
          <w:sz w:val="22"/>
          <w:szCs w:val="22"/>
        </w:rPr>
        <w:t>oniczne</w:t>
      </w:r>
    </w:p>
    <w:p w14:paraId="1569BD09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31712110-4 - elektroniczne układy scalone i mikromoduły</w:t>
      </w:r>
    </w:p>
    <w:p w14:paraId="1485ACFB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31712332-6 - tyrystory</w:t>
      </w:r>
    </w:p>
    <w:p w14:paraId="6749E130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31712340-5 - diody</w:t>
      </w:r>
    </w:p>
    <w:p w14:paraId="1850DDA2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31712343-6 - diody Zenera</w:t>
      </w:r>
    </w:p>
    <w:p w14:paraId="7153589B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31712344-3 - diody Schottky’ego</w:t>
      </w:r>
    </w:p>
    <w:p w14:paraId="257B1A76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31712350-8 - tranzystory</w:t>
      </w:r>
    </w:p>
    <w:p w14:paraId="7EB2E6EC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31712351-5 - fototranzystory</w:t>
      </w:r>
    </w:p>
    <w:p w14:paraId="3051E592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31712352-2 - tranzystory polowe (FET)</w:t>
      </w:r>
    </w:p>
    <w:p w14:paraId="50E0D300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 xml:space="preserve">42141800-7 - złącza uniwersalne </w:t>
      </w:r>
    </w:p>
    <w:p w14:paraId="5C0B9358" w14:textId="77777777" w:rsidR="00513864" w:rsidRPr="002665CF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lastRenderedPageBreak/>
        <w:t>44514000-6 - uchwyty do narzędzi i części narzędzi</w:t>
      </w:r>
    </w:p>
    <w:p w14:paraId="432089D5" w14:textId="77777777" w:rsidR="00513864" w:rsidRPr="005A40F0" w:rsidRDefault="00513864" w:rsidP="00AD65A7">
      <w:pPr>
        <w:spacing w:line="360" w:lineRule="auto"/>
        <w:jc w:val="both"/>
        <w:rPr>
          <w:sz w:val="22"/>
          <w:szCs w:val="22"/>
        </w:rPr>
      </w:pPr>
      <w:r w:rsidRPr="002665CF">
        <w:rPr>
          <w:sz w:val="22"/>
          <w:szCs w:val="22"/>
        </w:rPr>
        <w:t>44617200-0 - obudowy liczników</w:t>
      </w:r>
    </w:p>
    <w:p w14:paraId="52549BAD" w14:textId="77777777" w:rsidR="00513864" w:rsidRDefault="00513864" w:rsidP="00AD65A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2E519E3" w14:textId="77777777" w:rsidR="00513864" w:rsidRDefault="00513864" w:rsidP="00AD65A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14:paraId="7A1ECB5D" w14:textId="77777777" w:rsidR="00513864" w:rsidRDefault="00513864" w:rsidP="00AD65A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6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14:paraId="0A6CADF1" w14:textId="77777777" w:rsidR="00513864" w:rsidRPr="00010FC7" w:rsidRDefault="00513864" w:rsidP="00AD65A7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oceniana niezależnie.</w:t>
      </w:r>
    </w:p>
    <w:p w14:paraId="0659B379" w14:textId="77777777" w:rsidR="00513864" w:rsidRDefault="00513864" w:rsidP="00AD65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14:paraId="3A46CFEC" w14:textId="77777777" w:rsidR="00513864" w:rsidRPr="005B3922" w:rsidRDefault="00513864" w:rsidP="00AD65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Instytut zastrzega sobie prawo do zmiany ilości lub rezygnacji z części pozycji.</w:t>
      </w:r>
    </w:p>
    <w:p w14:paraId="49A35598" w14:textId="77777777" w:rsidR="00513864" w:rsidRPr="00721EC6" w:rsidRDefault="00513864" w:rsidP="00AD65A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14:paraId="1A177F4A" w14:textId="77777777" w:rsidR="00513864" w:rsidRPr="007D5623" w:rsidRDefault="00513864" w:rsidP="006E56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7AEFE9" w14:textId="77777777" w:rsidR="00513864" w:rsidRPr="007D5623" w:rsidRDefault="00513864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>
        <w:rPr>
          <w:rFonts w:ascii="Arial" w:hAnsi="Arial" w:cs="Arial"/>
          <w:sz w:val="20"/>
          <w:szCs w:val="20"/>
        </w:rPr>
        <w:t xml:space="preserve"> do </w:t>
      </w:r>
      <w:r w:rsidRPr="002665CF">
        <w:rPr>
          <w:rFonts w:ascii="Arial" w:hAnsi="Arial" w:cs="Arial"/>
          <w:sz w:val="20"/>
          <w:szCs w:val="20"/>
        </w:rPr>
        <w:t>3-ch</w:t>
      </w:r>
      <w:r w:rsidRPr="007D5623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14:paraId="11526FB3" w14:textId="77777777" w:rsidR="00513864" w:rsidRPr="007D5623" w:rsidRDefault="00513864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</w:t>
      </w:r>
      <w:r w:rsidRPr="002665CF">
        <w:rPr>
          <w:rFonts w:ascii="Arial" w:hAnsi="Arial" w:cs="Arial"/>
          <w:sz w:val="20"/>
          <w:szCs w:val="20"/>
        </w:rPr>
        <w:t>do 23.08.2022r. godz. 12</w:t>
      </w:r>
      <w:r w:rsidRPr="002665CF">
        <w:rPr>
          <w:rFonts w:ascii="Arial" w:hAnsi="Arial" w:cs="Arial"/>
          <w:sz w:val="20"/>
          <w:szCs w:val="20"/>
          <w:vertAlign w:val="superscript"/>
        </w:rPr>
        <w:t>00</w:t>
      </w:r>
      <w:r w:rsidRPr="002665CF">
        <w:rPr>
          <w:rFonts w:ascii="Arial" w:hAnsi="Arial" w:cs="Arial"/>
          <w:sz w:val="20"/>
          <w:szCs w:val="20"/>
        </w:rPr>
        <w:t>.</w:t>
      </w:r>
    </w:p>
    <w:p w14:paraId="2293E665" w14:textId="77777777" w:rsidR="00513864" w:rsidRPr="007D5623" w:rsidRDefault="00513864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1EFA654B" w14:textId="77777777" w:rsidR="00513864" w:rsidRPr="007D5623" w:rsidRDefault="00513864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0CB55B" w14:textId="77777777" w:rsidR="00513864" w:rsidRPr="007D5623" w:rsidRDefault="00513864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962600" w14:textId="77777777" w:rsidR="00513864" w:rsidRDefault="00513864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14:paraId="543C7B7B" w14:textId="77777777" w:rsidR="00513864" w:rsidRPr="007D5623" w:rsidRDefault="00513864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2F5A0157" w14:textId="77777777" w:rsidR="00513864" w:rsidRPr="007D5623" w:rsidRDefault="00513864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14:paraId="2AF23069" w14:textId="77777777" w:rsidR="00513864" w:rsidRPr="007D5623" w:rsidRDefault="00513864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14:paraId="283802C3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14:paraId="07CECBC9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14:paraId="236C8270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14:paraId="14D4C0CE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14:paraId="40F56891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14:paraId="21B95254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5D981736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14:paraId="2EBF6363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14:paraId="7F548E99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14:paraId="69EF8847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14:paraId="254C0002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6FA91C00" w14:textId="77777777" w:rsidR="00513864" w:rsidRPr="007D5623" w:rsidRDefault="0051386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14:paraId="45A40C95" w14:textId="77777777" w:rsidR="00513864" w:rsidRPr="007D5623" w:rsidRDefault="00513864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14:paraId="41838F37" w14:textId="77777777" w:rsidR="00513864" w:rsidRPr="007D5623" w:rsidRDefault="00513864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ipercze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F19F7B6" w14:textId="77777777" w:rsidR="00513864" w:rsidRPr="007D5623" w:rsidRDefault="00513864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14:paraId="5240ECF0" w14:textId="77777777" w:rsidR="00513864" w:rsidRPr="007D5623" w:rsidRDefault="00513864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14:paraId="1FCE9BB7" w14:textId="77777777" w:rsidR="00513864" w:rsidRPr="007D5623" w:rsidRDefault="00513864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D5623">
        <w:rPr>
          <w:rFonts w:ascii="Arial" w:hAnsi="Arial" w:cs="Arial"/>
          <w:sz w:val="20"/>
          <w:szCs w:val="20"/>
        </w:rPr>
        <w:t>POIR.01.01.01-00-0221/20</w:t>
      </w:r>
    </w:p>
    <w:p w14:paraId="54387DDE" w14:textId="77777777" w:rsidR="00513864" w:rsidRPr="007D5623" w:rsidRDefault="00513864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164184F1" w14:textId="77777777" w:rsidR="00513864" w:rsidRPr="007D5623" w:rsidRDefault="00513864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lastRenderedPageBreak/>
        <w:t>Oferta powinna zawierać co najmniej:</w:t>
      </w:r>
    </w:p>
    <w:p w14:paraId="6A95DC7A" w14:textId="77777777" w:rsidR="00513864" w:rsidRPr="007D5623" w:rsidRDefault="00513864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14:paraId="123826BD" w14:textId="77777777" w:rsidR="00513864" w:rsidRPr="007D5623" w:rsidRDefault="00513864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14:paraId="0F32E227" w14:textId="77777777" w:rsidR="00513864" w:rsidRPr="007D5623" w:rsidRDefault="0051386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14:paraId="2E1A9C34" w14:textId="77777777" w:rsidR="00513864" w:rsidRPr="007D5623" w:rsidRDefault="0051386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14:paraId="4DE74CE8" w14:textId="77777777" w:rsidR="00513864" w:rsidRPr="007D5623" w:rsidRDefault="0051386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14:paraId="3D7E4E34" w14:textId="77777777" w:rsidR="00513864" w:rsidRPr="007D5623" w:rsidRDefault="0051386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14:paraId="318AE647" w14:textId="77777777" w:rsidR="00513864" w:rsidRPr="007D5623" w:rsidRDefault="00513864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38B0ECEA" w14:textId="77777777" w:rsidR="00513864" w:rsidRPr="007D5623" w:rsidRDefault="0051386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14:paraId="767D8C8B" w14:textId="77777777" w:rsidR="00513864" w:rsidRPr="007D5623" w:rsidRDefault="00513864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14:paraId="4985B1E6" w14:textId="77777777" w:rsidR="00513864" w:rsidRPr="007D5623" w:rsidRDefault="00513864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ipercze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14:paraId="290692B5" w14:textId="77777777" w:rsidR="00513864" w:rsidRDefault="00513864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Paweł Michalski, tel. 22 590-73-85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14:paraId="7C36EE89" w14:textId="77777777" w:rsidR="00513864" w:rsidRPr="00B23A24" w:rsidRDefault="00513864" w:rsidP="00525DDD">
      <w:pPr>
        <w:tabs>
          <w:tab w:val="left" w:pos="6096"/>
        </w:tabs>
        <w:jc w:val="right"/>
        <w:rPr>
          <w:rStyle w:val="Wyrnieniedelikatne"/>
          <w:iCs/>
          <w:color w:val="auto"/>
          <w:sz w:val="22"/>
          <w:szCs w:val="22"/>
        </w:rPr>
      </w:pPr>
    </w:p>
    <w:sectPr w:rsidR="00513864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D464" w14:textId="77777777" w:rsidR="00513864" w:rsidRDefault="00513864" w:rsidP="002F0A92">
      <w:r>
        <w:separator/>
      </w:r>
    </w:p>
  </w:endnote>
  <w:endnote w:type="continuationSeparator" w:id="0">
    <w:p w14:paraId="1F71913B" w14:textId="77777777" w:rsidR="00513864" w:rsidRDefault="0051386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E477" w14:textId="77777777" w:rsidR="00513864" w:rsidRDefault="00513864" w:rsidP="002F0A92">
      <w:r>
        <w:separator/>
      </w:r>
    </w:p>
  </w:footnote>
  <w:footnote w:type="continuationSeparator" w:id="0">
    <w:p w14:paraId="574AC837" w14:textId="77777777" w:rsidR="00513864" w:rsidRDefault="0051386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6AA4" w14:textId="77777777" w:rsidR="00513864" w:rsidRPr="00217624" w:rsidRDefault="00C623DC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instrText>INCLUDEPICTURE  "cid:image008.png@01D398F3.BB1CAD50" \* MERGEFORMATINET</w:instrText>
    </w:r>
    <w:r>
      <w:rPr>
        <w:rFonts w:ascii="Calibri" w:hAnsi="Calibri"/>
        <w:noProof/>
      </w:rPr>
      <w:instrText xml:space="preserve"> </w:instrText>
    </w:r>
    <w:r>
      <w:rPr>
        <w:rFonts w:ascii="Calibri" w:hAnsi="Calibri"/>
        <w:noProof/>
      </w:rPr>
      <w:fldChar w:fldCharType="separate"/>
    </w:r>
    <w:r>
      <w:rPr>
        <w:rFonts w:ascii="Calibri" w:hAnsi="Calibri"/>
        <w:noProof/>
      </w:rPr>
      <w:pict w14:anchorId="66D95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>
      <w:rPr>
        <w:rFonts w:ascii="Calibri" w:hAnsi="Calibri"/>
        <w:noProof/>
      </w:rPr>
      <w:fldChar w:fldCharType="end"/>
    </w:r>
  </w:p>
  <w:p w14:paraId="4298011A" w14:textId="77777777" w:rsidR="00513864" w:rsidRDefault="00513864">
    <w:pPr>
      <w:pStyle w:val="Nagwek"/>
    </w:pPr>
  </w:p>
  <w:p w14:paraId="5C6F0F05" w14:textId="77777777" w:rsidR="00513864" w:rsidRDefault="00513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7433547">
    <w:abstractNumId w:val="10"/>
  </w:num>
  <w:num w:numId="2" w16cid:durableId="1714039738">
    <w:abstractNumId w:val="10"/>
  </w:num>
  <w:num w:numId="3" w16cid:durableId="1181235789">
    <w:abstractNumId w:val="16"/>
  </w:num>
  <w:num w:numId="4" w16cid:durableId="927815196">
    <w:abstractNumId w:val="14"/>
  </w:num>
  <w:num w:numId="5" w16cid:durableId="454720199">
    <w:abstractNumId w:val="13"/>
  </w:num>
  <w:num w:numId="6" w16cid:durableId="1657496670">
    <w:abstractNumId w:val="17"/>
  </w:num>
  <w:num w:numId="7" w16cid:durableId="2001303717">
    <w:abstractNumId w:val="12"/>
  </w:num>
  <w:num w:numId="8" w16cid:durableId="862674210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3496157">
    <w:abstractNumId w:val="8"/>
  </w:num>
  <w:num w:numId="10" w16cid:durableId="705719415">
    <w:abstractNumId w:val="3"/>
  </w:num>
  <w:num w:numId="11" w16cid:durableId="906525777">
    <w:abstractNumId w:val="2"/>
  </w:num>
  <w:num w:numId="12" w16cid:durableId="1536306520">
    <w:abstractNumId w:val="1"/>
  </w:num>
  <w:num w:numId="13" w16cid:durableId="1504977583">
    <w:abstractNumId w:val="0"/>
  </w:num>
  <w:num w:numId="14" w16cid:durableId="376784073">
    <w:abstractNumId w:val="9"/>
  </w:num>
  <w:num w:numId="15" w16cid:durableId="1854108581">
    <w:abstractNumId w:val="7"/>
  </w:num>
  <w:num w:numId="16" w16cid:durableId="1432312132">
    <w:abstractNumId w:val="6"/>
  </w:num>
  <w:num w:numId="17" w16cid:durableId="1939101757">
    <w:abstractNumId w:val="5"/>
  </w:num>
  <w:num w:numId="18" w16cid:durableId="1298414708">
    <w:abstractNumId w:val="4"/>
  </w:num>
  <w:num w:numId="19" w16cid:durableId="2011908288">
    <w:abstractNumId w:val="15"/>
  </w:num>
  <w:num w:numId="20" w16cid:durableId="1814444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10FC7"/>
    <w:rsid w:val="0002283A"/>
    <w:rsid w:val="000241FF"/>
    <w:rsid w:val="000248A9"/>
    <w:rsid w:val="00031AB5"/>
    <w:rsid w:val="00033016"/>
    <w:rsid w:val="000524C7"/>
    <w:rsid w:val="000757C7"/>
    <w:rsid w:val="00077555"/>
    <w:rsid w:val="0008220A"/>
    <w:rsid w:val="00094578"/>
    <w:rsid w:val="000A1687"/>
    <w:rsid w:val="000C6C15"/>
    <w:rsid w:val="000D3BCD"/>
    <w:rsid w:val="000F6262"/>
    <w:rsid w:val="001060DC"/>
    <w:rsid w:val="00107E73"/>
    <w:rsid w:val="00112CB1"/>
    <w:rsid w:val="00142825"/>
    <w:rsid w:val="00165B0F"/>
    <w:rsid w:val="00174FA6"/>
    <w:rsid w:val="001779A9"/>
    <w:rsid w:val="00180518"/>
    <w:rsid w:val="0019142A"/>
    <w:rsid w:val="001A166E"/>
    <w:rsid w:val="001A3B5C"/>
    <w:rsid w:val="001A557E"/>
    <w:rsid w:val="001F51FB"/>
    <w:rsid w:val="001F5F6B"/>
    <w:rsid w:val="00217624"/>
    <w:rsid w:val="0023102E"/>
    <w:rsid w:val="00234CB8"/>
    <w:rsid w:val="00243944"/>
    <w:rsid w:val="00263658"/>
    <w:rsid w:val="002665CF"/>
    <w:rsid w:val="00272C27"/>
    <w:rsid w:val="002A49E4"/>
    <w:rsid w:val="002B109F"/>
    <w:rsid w:val="002B70E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5A73"/>
    <w:rsid w:val="003D0828"/>
    <w:rsid w:val="003D1BC4"/>
    <w:rsid w:val="003D402F"/>
    <w:rsid w:val="003E13C4"/>
    <w:rsid w:val="003E65F3"/>
    <w:rsid w:val="003F2E3C"/>
    <w:rsid w:val="00403B22"/>
    <w:rsid w:val="004048C6"/>
    <w:rsid w:val="004056C4"/>
    <w:rsid w:val="00417837"/>
    <w:rsid w:val="00417CB9"/>
    <w:rsid w:val="004255D6"/>
    <w:rsid w:val="00427F82"/>
    <w:rsid w:val="0045232E"/>
    <w:rsid w:val="0046108F"/>
    <w:rsid w:val="00490F3E"/>
    <w:rsid w:val="004A01F9"/>
    <w:rsid w:val="004B36C2"/>
    <w:rsid w:val="004D57B3"/>
    <w:rsid w:val="004F7598"/>
    <w:rsid w:val="00513864"/>
    <w:rsid w:val="005234C1"/>
    <w:rsid w:val="00525DDD"/>
    <w:rsid w:val="00546457"/>
    <w:rsid w:val="0055055B"/>
    <w:rsid w:val="005818FF"/>
    <w:rsid w:val="00582F16"/>
    <w:rsid w:val="0058731C"/>
    <w:rsid w:val="005A00A7"/>
    <w:rsid w:val="005A33DE"/>
    <w:rsid w:val="005A40F0"/>
    <w:rsid w:val="005A566B"/>
    <w:rsid w:val="005A75E7"/>
    <w:rsid w:val="005B3922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97EFF"/>
    <w:rsid w:val="006A2FB9"/>
    <w:rsid w:val="006B63DF"/>
    <w:rsid w:val="006C20BC"/>
    <w:rsid w:val="006D0D63"/>
    <w:rsid w:val="006E56B4"/>
    <w:rsid w:val="006F1EF0"/>
    <w:rsid w:val="0070612B"/>
    <w:rsid w:val="00721EC6"/>
    <w:rsid w:val="00740603"/>
    <w:rsid w:val="0074250B"/>
    <w:rsid w:val="0074455E"/>
    <w:rsid w:val="00761E71"/>
    <w:rsid w:val="007903EE"/>
    <w:rsid w:val="0079055F"/>
    <w:rsid w:val="007950D6"/>
    <w:rsid w:val="007971CC"/>
    <w:rsid w:val="007A2C1A"/>
    <w:rsid w:val="007A7DC9"/>
    <w:rsid w:val="007D5623"/>
    <w:rsid w:val="007D5E23"/>
    <w:rsid w:val="007D788D"/>
    <w:rsid w:val="007E6E67"/>
    <w:rsid w:val="007E72F7"/>
    <w:rsid w:val="007F3FAC"/>
    <w:rsid w:val="007F70C5"/>
    <w:rsid w:val="008020C2"/>
    <w:rsid w:val="00803BC6"/>
    <w:rsid w:val="00812A41"/>
    <w:rsid w:val="00826D9B"/>
    <w:rsid w:val="00851382"/>
    <w:rsid w:val="008570AB"/>
    <w:rsid w:val="00876D1A"/>
    <w:rsid w:val="00897D35"/>
    <w:rsid w:val="008A48D9"/>
    <w:rsid w:val="008A6B0B"/>
    <w:rsid w:val="008B3DB0"/>
    <w:rsid w:val="008B412B"/>
    <w:rsid w:val="008C6495"/>
    <w:rsid w:val="008D5FD4"/>
    <w:rsid w:val="0090062A"/>
    <w:rsid w:val="009114A8"/>
    <w:rsid w:val="00925B64"/>
    <w:rsid w:val="009674A2"/>
    <w:rsid w:val="009A7950"/>
    <w:rsid w:val="009D7D9B"/>
    <w:rsid w:val="009E2B64"/>
    <w:rsid w:val="009E6DFC"/>
    <w:rsid w:val="00A214D1"/>
    <w:rsid w:val="00A403BD"/>
    <w:rsid w:val="00A53B17"/>
    <w:rsid w:val="00A61ED9"/>
    <w:rsid w:val="00A63F24"/>
    <w:rsid w:val="00A6739D"/>
    <w:rsid w:val="00A74608"/>
    <w:rsid w:val="00A761F8"/>
    <w:rsid w:val="00A82D4E"/>
    <w:rsid w:val="00AA0698"/>
    <w:rsid w:val="00AA15C0"/>
    <w:rsid w:val="00AB5C14"/>
    <w:rsid w:val="00AB71B1"/>
    <w:rsid w:val="00AD566F"/>
    <w:rsid w:val="00AD65A7"/>
    <w:rsid w:val="00AD7BBD"/>
    <w:rsid w:val="00AF4013"/>
    <w:rsid w:val="00AF6C72"/>
    <w:rsid w:val="00B02BCC"/>
    <w:rsid w:val="00B04165"/>
    <w:rsid w:val="00B153E4"/>
    <w:rsid w:val="00B23A24"/>
    <w:rsid w:val="00B47438"/>
    <w:rsid w:val="00B63F9F"/>
    <w:rsid w:val="00B854D7"/>
    <w:rsid w:val="00BA6630"/>
    <w:rsid w:val="00BB62EC"/>
    <w:rsid w:val="00BC3116"/>
    <w:rsid w:val="00BC31C6"/>
    <w:rsid w:val="00BC5CE2"/>
    <w:rsid w:val="00BE6A52"/>
    <w:rsid w:val="00BF081D"/>
    <w:rsid w:val="00BF2DB7"/>
    <w:rsid w:val="00C2650C"/>
    <w:rsid w:val="00C27858"/>
    <w:rsid w:val="00C37341"/>
    <w:rsid w:val="00C555C8"/>
    <w:rsid w:val="00C623DC"/>
    <w:rsid w:val="00C62509"/>
    <w:rsid w:val="00C76935"/>
    <w:rsid w:val="00C80989"/>
    <w:rsid w:val="00CB03EB"/>
    <w:rsid w:val="00CD7CD8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182A"/>
    <w:rsid w:val="00D9738E"/>
    <w:rsid w:val="00DB5860"/>
    <w:rsid w:val="00DB6172"/>
    <w:rsid w:val="00DB6334"/>
    <w:rsid w:val="00DC6FDB"/>
    <w:rsid w:val="00DD56F6"/>
    <w:rsid w:val="00DE3894"/>
    <w:rsid w:val="00DE7D3D"/>
    <w:rsid w:val="00DF39E0"/>
    <w:rsid w:val="00E0303C"/>
    <w:rsid w:val="00E10AF4"/>
    <w:rsid w:val="00E1669F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206A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72E11"/>
    <w:rsid w:val="00F77E09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E87E26"/>
  <w15:docId w15:val="{699F74C7-0120-4B98-B0D6-BEEF300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8</cp:revision>
  <cp:lastPrinted>2021-12-20T11:07:00Z</cp:lastPrinted>
  <dcterms:created xsi:type="dcterms:W3CDTF">2022-08-08T08:48:00Z</dcterms:created>
  <dcterms:modified xsi:type="dcterms:W3CDTF">2022-08-11T07:55:00Z</dcterms:modified>
</cp:coreProperties>
</file>