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588" w:rsidRPr="00675AC0" w:rsidRDefault="00D54588" w:rsidP="006E56B4">
      <w:pPr>
        <w:spacing w:line="360" w:lineRule="auto"/>
        <w:rPr>
          <w:rFonts w:ascii="Arial" w:hAnsi="Arial" w:cs="Arial"/>
          <w:sz w:val="20"/>
          <w:szCs w:val="20"/>
        </w:rPr>
      </w:pPr>
      <w:r w:rsidRPr="00782F18">
        <w:rPr>
          <w:rFonts w:ascii="Arial" w:hAnsi="Arial" w:cs="Arial"/>
          <w:noProof/>
          <w:color w:val="00FF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7" type="#_x0000_t75" style="width:50.25pt;height:90.75pt;visibility:visible">
            <v:imagedata r:id="rId7" o:title=""/>
          </v:shape>
        </w:pict>
      </w:r>
    </w:p>
    <w:p w:rsidR="00D54588" w:rsidRPr="00675AC0" w:rsidRDefault="00D54588" w:rsidP="006E56B4">
      <w:pPr>
        <w:spacing w:line="360" w:lineRule="auto"/>
        <w:rPr>
          <w:rFonts w:ascii="Arial" w:hAnsi="Arial" w:cs="Arial"/>
          <w:sz w:val="20"/>
          <w:szCs w:val="20"/>
        </w:rPr>
      </w:pPr>
      <w:r>
        <w:rPr>
          <w:noProof/>
        </w:rPr>
        <w:pict>
          <v:line id="Line 2" o:spid="_x0000_s1026" style="position:absolute;z-index:251658240;visibility:visible;mso-wrap-distance-top:-6e-5mm;mso-wrap-distance-bottom:-6e-5mm" from="-9.7pt,2.95pt" to="499.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"/>
        </w:pict>
      </w:r>
    </w:p>
    <w:p w:rsidR="00D54588" w:rsidRPr="00675AC0" w:rsidRDefault="00D54588" w:rsidP="006E56B4">
      <w:pPr>
        <w:spacing w:line="360" w:lineRule="auto"/>
        <w:jc w:val="right"/>
        <w:outlineLvl w:val="0"/>
        <w:rPr>
          <w:rFonts w:ascii="Arial" w:hAnsi="Arial" w:cs="Arial"/>
          <w:sz w:val="20"/>
          <w:szCs w:val="20"/>
        </w:rPr>
      </w:pPr>
      <w:r w:rsidRPr="00675AC0">
        <w:rPr>
          <w:rFonts w:ascii="Arial" w:hAnsi="Arial" w:cs="Arial"/>
          <w:sz w:val="20"/>
          <w:szCs w:val="20"/>
        </w:rPr>
        <w:t>Warszawa, dn</w:t>
      </w:r>
      <w:r w:rsidRPr="00D22906">
        <w:rPr>
          <w:rFonts w:ascii="Arial" w:hAnsi="Arial" w:cs="Arial"/>
          <w:sz w:val="20"/>
          <w:szCs w:val="20"/>
        </w:rPr>
        <w:t xml:space="preserve">. </w:t>
      </w:r>
      <w:r w:rsidRPr="001A3B37">
        <w:rPr>
          <w:rFonts w:ascii="Arial" w:hAnsi="Arial" w:cs="Arial"/>
          <w:sz w:val="20"/>
          <w:szCs w:val="20"/>
        </w:rPr>
        <w:t>14.02.2023 r.</w:t>
      </w:r>
    </w:p>
    <w:p w:rsidR="00D54588" w:rsidRPr="00675AC0" w:rsidRDefault="00D54588" w:rsidP="006E56B4">
      <w:pPr>
        <w:outlineLvl w:val="0"/>
        <w:rPr>
          <w:rFonts w:ascii="Arial" w:hAnsi="Arial" w:cs="Arial"/>
          <w:b/>
          <w:sz w:val="20"/>
          <w:szCs w:val="20"/>
        </w:rPr>
      </w:pPr>
      <w:r w:rsidRPr="00675AC0">
        <w:rPr>
          <w:rFonts w:ascii="Arial" w:hAnsi="Arial" w:cs="Arial"/>
          <w:b/>
          <w:sz w:val="20"/>
          <w:szCs w:val="20"/>
        </w:rPr>
        <w:t>Sieć Badawcza Łukasiewicz -</w:t>
      </w:r>
    </w:p>
    <w:p w:rsidR="00D54588" w:rsidRPr="00675AC0" w:rsidRDefault="00D54588" w:rsidP="006E56B4">
      <w:pPr>
        <w:outlineLvl w:val="0"/>
        <w:rPr>
          <w:rFonts w:ascii="Arial" w:hAnsi="Arial" w:cs="Arial"/>
          <w:b/>
          <w:sz w:val="20"/>
          <w:szCs w:val="20"/>
        </w:rPr>
      </w:pPr>
      <w:r w:rsidRPr="00675AC0">
        <w:rPr>
          <w:rFonts w:ascii="Arial" w:hAnsi="Arial" w:cs="Arial"/>
          <w:b/>
          <w:sz w:val="20"/>
          <w:szCs w:val="20"/>
        </w:rPr>
        <w:t>Instytut Tele- i Radiotechniczny</w:t>
      </w:r>
      <w:r w:rsidRPr="00675AC0">
        <w:rPr>
          <w:rFonts w:ascii="Arial" w:hAnsi="Arial" w:cs="Arial"/>
          <w:b/>
          <w:sz w:val="20"/>
          <w:szCs w:val="20"/>
        </w:rPr>
        <w:tab/>
      </w:r>
      <w:r w:rsidRPr="00675AC0">
        <w:rPr>
          <w:rFonts w:ascii="Arial" w:hAnsi="Arial" w:cs="Arial"/>
          <w:b/>
          <w:sz w:val="20"/>
          <w:szCs w:val="20"/>
        </w:rPr>
        <w:tab/>
      </w:r>
      <w:r w:rsidRPr="00675AC0">
        <w:rPr>
          <w:rFonts w:ascii="Arial" w:hAnsi="Arial" w:cs="Arial"/>
          <w:b/>
          <w:sz w:val="20"/>
          <w:szCs w:val="20"/>
        </w:rPr>
        <w:tab/>
      </w:r>
      <w:r w:rsidRPr="00675AC0">
        <w:rPr>
          <w:rFonts w:ascii="Arial" w:hAnsi="Arial" w:cs="Arial"/>
          <w:b/>
          <w:sz w:val="20"/>
          <w:szCs w:val="20"/>
        </w:rPr>
        <w:tab/>
      </w:r>
      <w:r w:rsidRPr="00675AC0">
        <w:rPr>
          <w:rFonts w:ascii="Arial" w:hAnsi="Arial" w:cs="Arial"/>
          <w:b/>
          <w:sz w:val="20"/>
          <w:szCs w:val="20"/>
        </w:rPr>
        <w:tab/>
      </w:r>
      <w:r w:rsidRPr="00675AC0">
        <w:rPr>
          <w:rFonts w:ascii="Arial" w:hAnsi="Arial" w:cs="Arial"/>
          <w:b/>
          <w:sz w:val="20"/>
          <w:szCs w:val="20"/>
        </w:rPr>
        <w:tab/>
      </w:r>
      <w:r w:rsidRPr="00675AC0">
        <w:rPr>
          <w:rFonts w:ascii="Arial" w:hAnsi="Arial" w:cs="Arial"/>
          <w:b/>
          <w:sz w:val="20"/>
          <w:szCs w:val="20"/>
        </w:rPr>
        <w:tab/>
      </w:r>
      <w:r w:rsidRPr="00675AC0">
        <w:rPr>
          <w:rFonts w:ascii="Arial" w:hAnsi="Arial" w:cs="Arial"/>
          <w:b/>
          <w:sz w:val="20"/>
          <w:szCs w:val="20"/>
        </w:rPr>
        <w:tab/>
      </w:r>
      <w:r w:rsidRPr="00675AC0">
        <w:rPr>
          <w:rFonts w:ascii="Arial" w:hAnsi="Arial" w:cs="Arial"/>
          <w:b/>
          <w:sz w:val="20"/>
          <w:szCs w:val="20"/>
        </w:rPr>
        <w:tab/>
      </w:r>
      <w:r w:rsidRPr="00675AC0">
        <w:rPr>
          <w:rFonts w:ascii="Arial" w:hAnsi="Arial" w:cs="Arial"/>
          <w:b/>
          <w:sz w:val="20"/>
          <w:szCs w:val="20"/>
        </w:rPr>
        <w:tab/>
      </w:r>
    </w:p>
    <w:p w:rsidR="00D54588" w:rsidRPr="00675AC0" w:rsidRDefault="00D54588" w:rsidP="006E56B4">
      <w:pPr>
        <w:outlineLvl w:val="0"/>
        <w:rPr>
          <w:rFonts w:ascii="Arial" w:hAnsi="Arial" w:cs="Arial"/>
          <w:sz w:val="20"/>
          <w:szCs w:val="20"/>
        </w:rPr>
      </w:pPr>
      <w:r w:rsidRPr="00675AC0">
        <w:rPr>
          <w:rFonts w:ascii="Arial" w:hAnsi="Arial" w:cs="Arial"/>
          <w:sz w:val="20"/>
          <w:szCs w:val="20"/>
        </w:rPr>
        <w:t>ul. Ratuszowa 11</w:t>
      </w:r>
    </w:p>
    <w:p w:rsidR="00D54588" w:rsidRPr="00675AC0" w:rsidRDefault="00D54588" w:rsidP="006E56B4">
      <w:pPr>
        <w:jc w:val="both"/>
        <w:rPr>
          <w:rFonts w:ascii="Arial" w:hAnsi="Arial" w:cs="Arial"/>
          <w:sz w:val="20"/>
          <w:szCs w:val="20"/>
        </w:rPr>
      </w:pPr>
      <w:r w:rsidRPr="00675AC0">
        <w:rPr>
          <w:rFonts w:ascii="Arial" w:hAnsi="Arial" w:cs="Arial"/>
          <w:sz w:val="20"/>
          <w:szCs w:val="20"/>
        </w:rPr>
        <w:t>03-450 Warszawa</w:t>
      </w:r>
    </w:p>
    <w:p w:rsidR="00D54588" w:rsidRPr="00675AC0" w:rsidRDefault="00D54588" w:rsidP="006E56B4">
      <w:pPr>
        <w:jc w:val="both"/>
        <w:rPr>
          <w:rFonts w:ascii="Arial" w:hAnsi="Arial" w:cs="Arial"/>
          <w:sz w:val="20"/>
          <w:szCs w:val="20"/>
        </w:rPr>
      </w:pPr>
      <w:r w:rsidRPr="00675AC0">
        <w:rPr>
          <w:rFonts w:ascii="Arial" w:hAnsi="Arial" w:cs="Arial"/>
          <w:sz w:val="20"/>
          <w:szCs w:val="20"/>
        </w:rPr>
        <w:t>tel.: + 48 22 619 25 12</w:t>
      </w:r>
    </w:p>
    <w:p w:rsidR="00D54588" w:rsidRPr="00675AC0" w:rsidRDefault="00D54588" w:rsidP="006E56B4">
      <w:pPr>
        <w:jc w:val="both"/>
        <w:rPr>
          <w:rFonts w:ascii="Arial" w:hAnsi="Arial" w:cs="Arial"/>
          <w:sz w:val="20"/>
          <w:szCs w:val="20"/>
        </w:rPr>
      </w:pPr>
      <w:r w:rsidRPr="00675AC0">
        <w:rPr>
          <w:rFonts w:ascii="Arial" w:hAnsi="Arial" w:cs="Arial"/>
          <w:sz w:val="20"/>
          <w:szCs w:val="20"/>
        </w:rPr>
        <w:t>faks: + 48 22 619 25 12</w:t>
      </w:r>
    </w:p>
    <w:p w:rsidR="00D54588" w:rsidRPr="00675AC0" w:rsidRDefault="00D54588" w:rsidP="006E56B4">
      <w:pPr>
        <w:jc w:val="both"/>
        <w:rPr>
          <w:rFonts w:ascii="Arial" w:hAnsi="Arial" w:cs="Arial"/>
          <w:sz w:val="20"/>
          <w:szCs w:val="20"/>
        </w:rPr>
      </w:pPr>
      <w:hyperlink r:id="rId8" w:history="1">
        <w:r w:rsidRPr="00675AC0">
          <w:rPr>
            <w:rStyle w:val="Hyperlink"/>
            <w:rFonts w:ascii="Arial" w:hAnsi="Arial" w:cs="Arial"/>
            <w:sz w:val="20"/>
            <w:szCs w:val="20"/>
          </w:rPr>
          <w:t>michal.kalicki@itr.lukasiewicz.gov.pl</w:t>
        </w:r>
      </w:hyperlink>
      <w:r w:rsidRPr="00675AC0">
        <w:rPr>
          <w:rFonts w:ascii="Arial" w:hAnsi="Arial" w:cs="Arial"/>
          <w:sz w:val="20"/>
          <w:szCs w:val="20"/>
        </w:rPr>
        <w:t xml:space="preserve"> </w:t>
      </w:r>
    </w:p>
    <w:p w:rsidR="00D54588" w:rsidRPr="00675AC0" w:rsidRDefault="00D54588" w:rsidP="006E56B4">
      <w:pPr>
        <w:jc w:val="both"/>
        <w:rPr>
          <w:rFonts w:ascii="Arial" w:hAnsi="Arial" w:cs="Arial"/>
          <w:sz w:val="20"/>
          <w:szCs w:val="20"/>
        </w:rPr>
      </w:pPr>
      <w:hyperlink r:id="rId9" w:history="1">
        <w:r w:rsidRPr="00675AC0">
          <w:rPr>
            <w:rStyle w:val="Hyperlink"/>
            <w:rFonts w:ascii="Arial" w:hAnsi="Arial" w:cs="Arial"/>
            <w:sz w:val="20"/>
            <w:szCs w:val="20"/>
          </w:rPr>
          <w:t>www.itr.org.pl</w:t>
        </w:r>
      </w:hyperlink>
    </w:p>
    <w:p w:rsidR="00D54588" w:rsidRPr="00675AC0" w:rsidRDefault="00D54588" w:rsidP="006E56B4">
      <w:pPr>
        <w:jc w:val="both"/>
        <w:rPr>
          <w:rFonts w:ascii="Arial" w:hAnsi="Arial" w:cs="Arial"/>
          <w:sz w:val="20"/>
          <w:szCs w:val="20"/>
        </w:rPr>
      </w:pPr>
    </w:p>
    <w:p w:rsidR="00D54588" w:rsidRPr="00675AC0" w:rsidRDefault="00D54588" w:rsidP="006E56B4">
      <w:pPr>
        <w:spacing w:line="360" w:lineRule="auto"/>
        <w:jc w:val="center"/>
        <w:outlineLvl w:val="0"/>
        <w:rPr>
          <w:rFonts w:ascii="Arial" w:hAnsi="Arial" w:cs="Arial"/>
          <w:b/>
          <w:sz w:val="20"/>
          <w:szCs w:val="20"/>
        </w:rPr>
      </w:pPr>
      <w:r>
        <w:rPr>
          <w:rFonts w:ascii="Arial" w:hAnsi="Arial" w:cs="Arial"/>
          <w:b/>
          <w:sz w:val="20"/>
          <w:szCs w:val="20"/>
        </w:rPr>
        <w:t xml:space="preserve">ZAPYTANIE OFERTOWE nr </w:t>
      </w:r>
      <w:r w:rsidRPr="001A3B37">
        <w:rPr>
          <w:rFonts w:ascii="Arial" w:hAnsi="Arial" w:cs="Arial"/>
          <w:b/>
          <w:sz w:val="20"/>
          <w:szCs w:val="20"/>
        </w:rPr>
        <w:t>002/EZ/2023</w:t>
      </w:r>
    </w:p>
    <w:p w:rsidR="00D54588" w:rsidRPr="00675AC0" w:rsidRDefault="00D54588" w:rsidP="006E56B4">
      <w:pPr>
        <w:spacing w:line="360" w:lineRule="auto"/>
        <w:jc w:val="center"/>
        <w:rPr>
          <w:rFonts w:ascii="Arial" w:hAnsi="Arial" w:cs="Arial"/>
          <w:sz w:val="20"/>
          <w:szCs w:val="20"/>
        </w:rPr>
      </w:pPr>
      <w:r w:rsidRPr="00675AC0">
        <w:rPr>
          <w:rFonts w:ascii="Arial" w:hAnsi="Arial" w:cs="Arial"/>
          <w:sz w:val="20"/>
          <w:szCs w:val="20"/>
        </w:rPr>
        <w:t>(</w:t>
      </w:r>
      <w:bookmarkStart w:id="0" w:name="_Hlk106022138"/>
      <w:r w:rsidRPr="00675AC0">
        <w:rPr>
          <w:rFonts w:ascii="Arial" w:hAnsi="Arial" w:cs="Arial"/>
          <w:sz w:val="20"/>
          <w:szCs w:val="20"/>
        </w:rPr>
        <w:t xml:space="preserve">dot. badań w celu oceny poprawności przyjętej koncepcji rozwiązań technicznych </w:t>
      </w:r>
      <w:r w:rsidRPr="00FB0EDD">
        <w:rPr>
          <w:rFonts w:ascii="Arial" w:hAnsi="Arial" w:cs="Arial"/>
          <w:sz w:val="20"/>
          <w:szCs w:val="20"/>
        </w:rPr>
        <w:t>prototypów</w:t>
      </w:r>
      <w:r w:rsidRPr="00675AC0">
        <w:rPr>
          <w:rFonts w:ascii="Arial" w:hAnsi="Arial" w:cs="Arial"/>
          <w:sz w:val="20"/>
          <w:szCs w:val="20"/>
        </w:rPr>
        <w:t xml:space="preserve"> urządzeń i wydanie opinii technicznej)</w:t>
      </w:r>
    </w:p>
    <w:bookmarkEnd w:id="0"/>
    <w:p w:rsidR="00D54588" w:rsidRPr="00675AC0" w:rsidRDefault="00D54588" w:rsidP="006E56B4">
      <w:pPr>
        <w:spacing w:line="360" w:lineRule="auto"/>
        <w:ind w:firstLine="288"/>
        <w:jc w:val="both"/>
        <w:rPr>
          <w:rFonts w:ascii="Arial" w:hAnsi="Arial" w:cs="Arial"/>
          <w:sz w:val="20"/>
          <w:szCs w:val="20"/>
        </w:rPr>
      </w:pPr>
    </w:p>
    <w:p w:rsidR="00D54588" w:rsidRPr="00675AC0" w:rsidRDefault="00D54588" w:rsidP="006E56B4">
      <w:pPr>
        <w:spacing w:line="360" w:lineRule="auto"/>
        <w:ind w:firstLine="288"/>
        <w:jc w:val="both"/>
        <w:rPr>
          <w:rFonts w:ascii="Arial" w:hAnsi="Arial" w:cs="Arial"/>
          <w:sz w:val="20"/>
          <w:szCs w:val="20"/>
        </w:rPr>
      </w:pPr>
      <w:r w:rsidRPr="00675AC0">
        <w:rPr>
          <w:rFonts w:ascii="Arial" w:hAnsi="Arial" w:cs="Arial"/>
          <w:sz w:val="20"/>
          <w:szCs w:val="20"/>
        </w:rPr>
        <w:t xml:space="preserve">Zwracamy się z prośbą o </w:t>
      </w:r>
      <w:r>
        <w:rPr>
          <w:rFonts w:ascii="Arial" w:hAnsi="Arial" w:cs="Arial"/>
          <w:sz w:val="20"/>
          <w:szCs w:val="20"/>
        </w:rPr>
        <w:t>przedstawienie oferty na</w:t>
      </w:r>
      <w:r w:rsidRPr="00675AC0">
        <w:rPr>
          <w:rFonts w:ascii="Arial" w:hAnsi="Arial" w:cs="Arial"/>
          <w:sz w:val="20"/>
          <w:szCs w:val="20"/>
        </w:rPr>
        <w:t>:</w:t>
      </w:r>
    </w:p>
    <w:p w:rsidR="00D54588" w:rsidRPr="00675AC0" w:rsidRDefault="00D54588" w:rsidP="006E56B4">
      <w:pPr>
        <w:spacing w:line="360" w:lineRule="auto"/>
        <w:ind w:firstLine="288"/>
        <w:jc w:val="both"/>
        <w:rPr>
          <w:rFonts w:ascii="Arial" w:hAnsi="Arial" w:cs="Arial"/>
          <w:sz w:val="20"/>
          <w:szCs w:val="20"/>
        </w:rPr>
      </w:pPr>
    </w:p>
    <w:p w:rsidR="00D54588" w:rsidRPr="00FB0EDD" w:rsidRDefault="00D54588" w:rsidP="001F1434">
      <w:pPr>
        <w:ind w:left="344"/>
        <w:rPr>
          <w:rFonts w:ascii="Arial" w:hAnsi="Arial" w:cs="Arial"/>
          <w:b/>
          <w:bCs/>
          <w:sz w:val="20"/>
          <w:szCs w:val="20"/>
        </w:rPr>
      </w:pPr>
      <w:bookmarkStart w:id="1" w:name="_Hlk102121228"/>
      <w:r w:rsidRPr="00FB0EDD">
        <w:rPr>
          <w:rFonts w:ascii="Arial" w:hAnsi="Arial" w:cs="Arial"/>
          <w:b/>
          <w:sz w:val="20"/>
          <w:szCs w:val="20"/>
        </w:rPr>
        <w:t xml:space="preserve">Wykonanie badań w celu oceny poprawności przyjętej koncepcji rozwiązań technicznych prototypów  urządzeń </w:t>
      </w:r>
      <w:bookmarkEnd w:id="1"/>
      <w:r w:rsidRPr="00FB0EDD">
        <w:rPr>
          <w:rFonts w:ascii="Arial" w:hAnsi="Arial" w:cs="Arial"/>
          <w:b/>
          <w:sz w:val="20"/>
          <w:szCs w:val="20"/>
        </w:rPr>
        <w:t xml:space="preserve">o budowie i funkcjonalności opisanej w załączonych dokumentach </w:t>
      </w:r>
      <w:r w:rsidRPr="00365961">
        <w:rPr>
          <w:rFonts w:ascii="Arial" w:hAnsi="Arial" w:cs="Arial"/>
          <w:b/>
          <w:sz w:val="20"/>
          <w:szCs w:val="20"/>
        </w:rPr>
        <w:t>„Opis techniczny”</w:t>
      </w:r>
      <w:r w:rsidRPr="00FB0EDD">
        <w:rPr>
          <w:rFonts w:ascii="Arial" w:hAnsi="Arial" w:cs="Arial"/>
          <w:b/>
          <w:sz w:val="20"/>
          <w:szCs w:val="20"/>
        </w:rPr>
        <w:t xml:space="preserve"> i wydanie opinii technicznej. </w:t>
      </w:r>
    </w:p>
    <w:p w:rsidR="00D54588" w:rsidRPr="00FB0EDD" w:rsidRDefault="00D54588" w:rsidP="00EB6E19">
      <w:pPr>
        <w:spacing w:line="360" w:lineRule="auto"/>
        <w:ind w:left="284"/>
        <w:jc w:val="both"/>
        <w:rPr>
          <w:rFonts w:ascii="Arial" w:hAnsi="Arial" w:cs="Arial"/>
          <w:b/>
          <w:sz w:val="20"/>
          <w:szCs w:val="20"/>
        </w:rPr>
      </w:pPr>
    </w:p>
    <w:p w:rsidR="00D54588" w:rsidRPr="00FB0EDD" w:rsidRDefault="00D54588" w:rsidP="006501B2">
      <w:pPr>
        <w:pStyle w:val="Bezodstpw1"/>
      </w:pPr>
      <w:r w:rsidRPr="00FB0EDD">
        <w:t xml:space="preserve">Kod CPV 73111000-3 – laboratoryjne usługi badawcze </w:t>
      </w:r>
    </w:p>
    <w:p w:rsidR="00D54588" w:rsidRPr="00FB0EDD" w:rsidRDefault="00D54588" w:rsidP="00BD0E81">
      <w:pPr>
        <w:ind w:left="284"/>
        <w:jc w:val="both"/>
        <w:rPr>
          <w:rFonts w:ascii="Arial" w:hAnsi="Arial" w:cs="Arial"/>
          <w:sz w:val="20"/>
          <w:szCs w:val="20"/>
        </w:rPr>
      </w:pPr>
    </w:p>
    <w:p w:rsidR="00D54588" w:rsidRPr="00FB0EDD" w:rsidRDefault="00D54588" w:rsidP="006501B2">
      <w:pPr>
        <w:pStyle w:val="Bezodstpw1"/>
      </w:pPr>
      <w:r w:rsidRPr="00FB0EDD">
        <w:t>Część 1:</w:t>
      </w:r>
    </w:p>
    <w:p w:rsidR="00D54588" w:rsidRPr="00FB0EDD" w:rsidRDefault="00D54588" w:rsidP="006501B2">
      <w:pPr>
        <w:pStyle w:val="Bezodstpw1"/>
      </w:pPr>
    </w:p>
    <w:p w:rsidR="00D54588" w:rsidRPr="00FB0EDD" w:rsidRDefault="00D54588" w:rsidP="006501B2">
      <w:pPr>
        <w:pStyle w:val="Bezodstpw1"/>
      </w:pPr>
      <w:r w:rsidRPr="00FB0EDD">
        <w:t>Zakres prac badawczych:</w:t>
      </w:r>
    </w:p>
    <w:p w:rsidR="00D54588" w:rsidRPr="00FB0EDD" w:rsidRDefault="00D54588" w:rsidP="006501B2">
      <w:pPr>
        <w:pStyle w:val="Bezodstpw1"/>
      </w:pPr>
      <w:r w:rsidRPr="00FB0EDD">
        <w:t>Ocenę poprawności przyjętej koncepcji rozwiązania prototypowego sterownika układu nawaniania.</w:t>
      </w:r>
    </w:p>
    <w:p w:rsidR="00D54588" w:rsidRPr="00FB0EDD" w:rsidRDefault="00D54588" w:rsidP="006501B2">
      <w:pPr>
        <w:pStyle w:val="Bezodstpw1"/>
      </w:pPr>
    </w:p>
    <w:p w:rsidR="00D54588" w:rsidRPr="00FB0EDD" w:rsidRDefault="00D54588" w:rsidP="006501B2">
      <w:pPr>
        <w:pStyle w:val="Bezodstpw1"/>
        <w:rPr>
          <w:b/>
        </w:rPr>
      </w:pPr>
      <w:r w:rsidRPr="00FB0EDD">
        <w:t xml:space="preserve">Ocena poprawności przyjętej koncepcji rozwiązania sterowania układem nawaniania (dobór aparatury, obudowy i połączeń) – zwanego dalej </w:t>
      </w:r>
      <w:r w:rsidRPr="00FB0EDD">
        <w:rPr>
          <w:b/>
        </w:rPr>
        <w:t>sterownik nawanialni.</w:t>
      </w:r>
    </w:p>
    <w:p w:rsidR="00D54588" w:rsidRPr="00FB0EDD" w:rsidRDefault="00D54588" w:rsidP="006501B2">
      <w:pPr>
        <w:pStyle w:val="Bezodstpw1"/>
      </w:pPr>
      <w:r w:rsidRPr="00FB0EDD">
        <w:t>Ocenie podlega rozwiązanie prototypowe systemu na podstawie schematu blokowego ukazującego przyjętą koncepcję rozwiązania technicznego sterownika nawanialni, schematu ideowego i listy podzespołów zawartych w opisie technicznym.</w:t>
      </w:r>
    </w:p>
    <w:p w:rsidR="00D54588" w:rsidRPr="00FB0EDD" w:rsidRDefault="00D54588" w:rsidP="006501B2">
      <w:pPr>
        <w:pStyle w:val="Bezodstpw1"/>
        <w:rPr>
          <w:strike/>
        </w:rPr>
      </w:pPr>
      <w:r w:rsidRPr="00FB0EDD">
        <w:rPr>
          <w:strike/>
        </w:rPr>
        <w:t xml:space="preserve"> </w:t>
      </w:r>
    </w:p>
    <w:p w:rsidR="00D54588" w:rsidRPr="00FB0EDD" w:rsidRDefault="00D54588" w:rsidP="006501B2">
      <w:pPr>
        <w:pStyle w:val="Bezodstpw1"/>
      </w:pPr>
      <w:r w:rsidRPr="00FB0EDD">
        <w:t>Część 2:</w:t>
      </w:r>
    </w:p>
    <w:p w:rsidR="00D54588" w:rsidRPr="00FB0EDD" w:rsidRDefault="00D54588" w:rsidP="006501B2">
      <w:pPr>
        <w:pStyle w:val="Bezodstpw1"/>
      </w:pPr>
    </w:p>
    <w:p w:rsidR="00D54588" w:rsidRPr="00FB0EDD" w:rsidRDefault="00D54588" w:rsidP="006501B2">
      <w:pPr>
        <w:pStyle w:val="Bezodstpw1"/>
      </w:pPr>
      <w:r w:rsidRPr="00FB0EDD">
        <w:t>Ocena poprawności przyjętej koncepcji rozwiązania prototypowego - iskrobezpiecznego zespołu agregacji danych i sterowania będącego elementem modułu technologicznego AKPiA.</w:t>
      </w:r>
    </w:p>
    <w:p w:rsidR="00D54588" w:rsidRPr="00FB0EDD" w:rsidRDefault="00D54588" w:rsidP="006501B2">
      <w:pPr>
        <w:pStyle w:val="Bezodstpw1"/>
      </w:pPr>
      <w:r w:rsidRPr="00FB0EDD">
        <w:t xml:space="preserve">Urządzenia według przyjętej koncepcji będą stosowane w środowisku zagrożenia wybuchem (metan) podlegającym dyrektywie ATEX. </w:t>
      </w:r>
    </w:p>
    <w:p w:rsidR="00D54588" w:rsidRPr="00FB0EDD" w:rsidRDefault="00D54588" w:rsidP="006501B2">
      <w:pPr>
        <w:pStyle w:val="Bezodstpw1"/>
      </w:pPr>
      <w:r w:rsidRPr="00FB0EDD">
        <w:t>Ocena musi być przeprowadzona w jednostce akredytowanej mającej uprawnienia do oceny zgodności z dyrektywą ATEX.</w:t>
      </w:r>
    </w:p>
    <w:p w:rsidR="00D54588" w:rsidRPr="00FB0EDD" w:rsidRDefault="00D54588" w:rsidP="006501B2">
      <w:pPr>
        <w:pStyle w:val="Bezodstpw1"/>
      </w:pPr>
      <w:r w:rsidRPr="00FB0EDD">
        <w:t>Ocenie podlega przyjęta koncepcja rozwiązania technicznego prototypu systemu w tym dobór elementów, obliczenia iskrobezpieczeństwa obwodów (energia zapłonu), nieuszkadzalność elementów, stopień zabezpieczenia.</w:t>
      </w:r>
    </w:p>
    <w:p w:rsidR="00D54588" w:rsidRPr="00FB0EDD" w:rsidRDefault="00D54588" w:rsidP="006501B2">
      <w:pPr>
        <w:pStyle w:val="Bezodstpw1"/>
      </w:pPr>
    </w:p>
    <w:p w:rsidR="00D54588" w:rsidRPr="00FB0EDD" w:rsidRDefault="00D54588" w:rsidP="006501B2">
      <w:pPr>
        <w:pStyle w:val="Bezodstpw1"/>
      </w:pPr>
    </w:p>
    <w:p w:rsidR="00D54588" w:rsidRPr="00FB0EDD" w:rsidRDefault="00D54588" w:rsidP="006501B2">
      <w:pPr>
        <w:pStyle w:val="Bezodstpw1"/>
      </w:pPr>
      <w:r w:rsidRPr="00FB0EDD">
        <w:t>Ad. Część 1):</w:t>
      </w:r>
    </w:p>
    <w:p w:rsidR="00D54588" w:rsidRPr="00FB0EDD" w:rsidRDefault="00D54588" w:rsidP="006501B2">
      <w:pPr>
        <w:pStyle w:val="Bezodstpw1"/>
      </w:pPr>
    </w:p>
    <w:p w:rsidR="00D54588" w:rsidRPr="00FB0EDD" w:rsidRDefault="00D54588" w:rsidP="009F0A97">
      <w:pPr>
        <w:pStyle w:val="Bezodstpw1"/>
        <w:jc w:val="left"/>
      </w:pPr>
      <w:r w:rsidRPr="00FB0EDD">
        <w:t>Analizy obejmują ocenę przyjętej koncepcji rozwiązania prototypowego sterownika układu nawaniania</w:t>
      </w:r>
    </w:p>
    <w:p w:rsidR="00D54588" w:rsidRPr="00FB0EDD" w:rsidRDefault="00D54588" w:rsidP="009F0A97">
      <w:pPr>
        <w:pStyle w:val="Bezodstpw1"/>
        <w:jc w:val="left"/>
      </w:pPr>
      <w:r w:rsidRPr="00FB0EDD">
        <w:t xml:space="preserve">na podstawie dokumentacji technicznej i przeprowadzeniu niezbędnych badań sterownika do sterowania   Układem Nawaniania (dobór aparatury i połączeń). </w:t>
      </w:r>
    </w:p>
    <w:p w:rsidR="00D54588" w:rsidRPr="00FB0EDD" w:rsidRDefault="00D54588" w:rsidP="009F0A97">
      <w:pPr>
        <w:pStyle w:val="Bezodstpw1"/>
        <w:jc w:val="left"/>
      </w:pPr>
    </w:p>
    <w:p w:rsidR="00D54588" w:rsidRPr="00FB0EDD" w:rsidRDefault="00D54588" w:rsidP="009F0A97">
      <w:pPr>
        <w:pStyle w:val="Bezodstpw1"/>
        <w:jc w:val="left"/>
      </w:pPr>
      <w:r w:rsidRPr="00FB0EDD">
        <w:t>Zgodnie z klasyfikacją stref zagrożenia wybuchem, urządzenie jest urządzeniem towarzyszącym i posiada cechy ochrony przeciwwybuchowej.</w:t>
      </w:r>
    </w:p>
    <w:p w:rsidR="00D54588" w:rsidRPr="00FB0EDD" w:rsidRDefault="00D54588" w:rsidP="009F0A97">
      <w:pPr>
        <w:pStyle w:val="Bezodstpw1"/>
        <w:jc w:val="left"/>
      </w:pPr>
    </w:p>
    <w:p w:rsidR="00D54588" w:rsidRPr="00FB0EDD" w:rsidRDefault="00D54588" w:rsidP="009F0A97">
      <w:pPr>
        <w:pStyle w:val="Bezodstpw1"/>
        <w:jc w:val="left"/>
      </w:pPr>
      <w:r w:rsidRPr="00FB0EDD">
        <w:t xml:space="preserve">     </w:t>
      </w:r>
      <w:r w:rsidRPr="00FB0EDD">
        <w:rPr>
          <w:rFonts w:ascii="Source Sans Pro" w:hAnsi="Source Sans Pro"/>
          <w:color w:val="272727"/>
          <w:shd w:val="clear" w:color="auto" w:fill="D7D7D7"/>
        </w:rPr>
        <w:t>II 2G [Ex ia] IIA</w:t>
      </w:r>
    </w:p>
    <w:p w:rsidR="00D54588" w:rsidRPr="00FB0EDD" w:rsidRDefault="00D54588" w:rsidP="009F0A97">
      <w:pPr>
        <w:pStyle w:val="Bezodstpw1"/>
        <w:ind w:firstLine="0"/>
        <w:jc w:val="left"/>
      </w:pPr>
    </w:p>
    <w:p w:rsidR="00D54588" w:rsidRPr="00FB0EDD" w:rsidRDefault="00D54588" w:rsidP="009F0A97">
      <w:pPr>
        <w:pStyle w:val="Bezodstpw1"/>
        <w:ind w:firstLine="0"/>
        <w:jc w:val="left"/>
      </w:pPr>
      <w:r w:rsidRPr="00FB0EDD">
        <w:t xml:space="preserve">jest urządzeniem instalowanym poza strefą zagrożenia wybuchem, posiada możliwość współpracy z urządzeniem zainstalowanym w strefie zagrożenia wybuchem.  </w:t>
      </w:r>
    </w:p>
    <w:p w:rsidR="00D54588" w:rsidRPr="00FB0EDD" w:rsidRDefault="00D54588" w:rsidP="009F0A97">
      <w:pPr>
        <w:pStyle w:val="Bezodstpw1"/>
        <w:ind w:firstLine="0"/>
        <w:jc w:val="left"/>
        <w:rPr>
          <w:lang w:val="en-US"/>
        </w:rPr>
      </w:pPr>
    </w:p>
    <w:p w:rsidR="00D54588" w:rsidRPr="00FB0EDD" w:rsidRDefault="00D54588" w:rsidP="009F0A97">
      <w:pPr>
        <w:pStyle w:val="Bezodstpw1"/>
        <w:jc w:val="left"/>
      </w:pPr>
      <w:r w:rsidRPr="00FB0EDD">
        <w:t xml:space="preserve">Budowa sterownika nawaniali: </w:t>
      </w:r>
    </w:p>
    <w:p w:rsidR="00D54588" w:rsidRPr="00FB0EDD" w:rsidRDefault="00D54588" w:rsidP="009F0A97">
      <w:pPr>
        <w:pStyle w:val="Bezodstpw1"/>
        <w:jc w:val="left"/>
      </w:pPr>
      <w:r w:rsidRPr="00FB0EDD">
        <w:t>W metalowej obudowie IP44 przeznczonej do zabudowy wnętrzowej, osadzone będą podzespoły:</w:t>
      </w:r>
    </w:p>
    <w:p w:rsidR="00D54588" w:rsidRPr="00FB0EDD" w:rsidRDefault="00D54588" w:rsidP="009F0A97">
      <w:pPr>
        <w:pStyle w:val="Bezodstpw1"/>
        <w:jc w:val="left"/>
      </w:pPr>
      <w:r w:rsidRPr="00FB0EDD">
        <w:t>- sterownik PLC (rodziny SIMATIC S7-</w:t>
      </w:r>
      <w:smartTag w:uri="urn:schemas-microsoft-com:office:smarttags" w:element="metricconverter">
        <w:smartTagPr>
          <w:attr w:name="ProductID" w:val="1212F"/>
        </w:smartTagPr>
        <w:r w:rsidRPr="00FB0EDD">
          <w:t>1212F</w:t>
        </w:r>
      </w:smartTag>
      <w:r w:rsidRPr="00FB0EDD">
        <w:t>),</w:t>
      </w:r>
    </w:p>
    <w:p w:rsidR="00D54588" w:rsidRPr="00FB0EDD" w:rsidRDefault="00D54588" w:rsidP="009F0A97">
      <w:pPr>
        <w:pStyle w:val="Bezodstpw1"/>
        <w:jc w:val="left"/>
      </w:pPr>
      <w:r w:rsidRPr="00FB0EDD">
        <w:t xml:space="preserve">- moduł separujący iskrobezpieczny sygnał RS485 typu CZAK04 (obwód iskrobezpieczny), </w:t>
      </w:r>
    </w:p>
    <w:p w:rsidR="00D54588" w:rsidRPr="00FB0EDD" w:rsidRDefault="00D54588" w:rsidP="009F0A97">
      <w:pPr>
        <w:pStyle w:val="Bezodstpw1"/>
        <w:jc w:val="left"/>
      </w:pPr>
      <w:r w:rsidRPr="00FB0EDD">
        <w:t>- lampki sygnalizacyjna– praca, awaria,</w:t>
      </w:r>
    </w:p>
    <w:p w:rsidR="00D54588" w:rsidRPr="00FB0EDD" w:rsidRDefault="00D54588" w:rsidP="009F0A97">
      <w:pPr>
        <w:pStyle w:val="Bezodstpw1"/>
        <w:jc w:val="left"/>
      </w:pPr>
      <w:r w:rsidRPr="00FB0EDD">
        <w:t xml:space="preserve">- przyciski kontrolny, </w:t>
      </w:r>
    </w:p>
    <w:p w:rsidR="00D54588" w:rsidRPr="00FB0EDD" w:rsidRDefault="00D54588" w:rsidP="009F0A97">
      <w:pPr>
        <w:pStyle w:val="Bezodstpw1"/>
        <w:jc w:val="left"/>
      </w:pPr>
      <w:r w:rsidRPr="00FB0EDD">
        <w:t xml:space="preserve">- wielopozycyjny przełącznik trybu pracy zabudowany wewnątrz obudowy, </w:t>
      </w:r>
    </w:p>
    <w:p w:rsidR="00D54588" w:rsidRPr="00FB0EDD" w:rsidRDefault="00D54588" w:rsidP="009F0A97">
      <w:pPr>
        <w:pStyle w:val="Bezodstpw1"/>
        <w:jc w:val="left"/>
      </w:pPr>
      <w:r w:rsidRPr="00FB0EDD">
        <w:t>- blok przekaźnikowy,</w:t>
      </w:r>
    </w:p>
    <w:p w:rsidR="00D54588" w:rsidRPr="00FB0EDD" w:rsidRDefault="00D54588" w:rsidP="009F0A97">
      <w:pPr>
        <w:pStyle w:val="Bezodstpw1"/>
        <w:jc w:val="left"/>
      </w:pPr>
      <w:r w:rsidRPr="00FB0EDD">
        <w:t>- zabezpieczenia nadprądowe automatyczne,</w:t>
      </w:r>
    </w:p>
    <w:p w:rsidR="00D54588" w:rsidRPr="00FB0EDD" w:rsidRDefault="00D54588" w:rsidP="009F0A97">
      <w:pPr>
        <w:pStyle w:val="Bezodstpw1"/>
        <w:jc w:val="left"/>
      </w:pPr>
      <w:r w:rsidRPr="00FB0EDD">
        <w:t>- zabezpieczenie nadprądowe termiczne,</w:t>
      </w:r>
    </w:p>
    <w:p w:rsidR="00D54588" w:rsidRPr="00FB0EDD" w:rsidRDefault="00D54588" w:rsidP="009F0A97">
      <w:pPr>
        <w:pStyle w:val="Bezodstpw1"/>
        <w:jc w:val="left"/>
      </w:pPr>
      <w:r w:rsidRPr="00FB0EDD">
        <w:t xml:space="preserve">- poza obudową i poza strefą zainstalowane są dwa zawory pneumatyczne doprowadzające gaz obojętny przez strefę zagrożenia wybuchem do układu nawanialni wtryskowej.   </w:t>
      </w:r>
    </w:p>
    <w:p w:rsidR="00D54588" w:rsidRPr="00FB0EDD" w:rsidRDefault="00D54588" w:rsidP="009F0A97">
      <w:pPr>
        <w:pStyle w:val="Bezodstpw1"/>
        <w:ind w:firstLine="0"/>
        <w:jc w:val="left"/>
      </w:pPr>
    </w:p>
    <w:p w:rsidR="00D54588" w:rsidRPr="00FB0EDD" w:rsidRDefault="00D54588" w:rsidP="009F0A97">
      <w:pPr>
        <w:pStyle w:val="Bezodstpw1"/>
        <w:jc w:val="left"/>
      </w:pPr>
      <w:r w:rsidRPr="00FB0EDD">
        <w:t>Zasada działania sterownika:</w:t>
      </w:r>
    </w:p>
    <w:p w:rsidR="00D54588" w:rsidRPr="00FB0EDD" w:rsidRDefault="00D54588" w:rsidP="009F0A97">
      <w:pPr>
        <w:pStyle w:val="Bezodstpw1"/>
        <w:jc w:val="left"/>
      </w:pPr>
      <w:r w:rsidRPr="00FB0EDD">
        <w:t xml:space="preserve">Sterownik  za pomocą złącza komunikacyjnego z wykorzystaniem separatora Ex typu CZAK 04 komunikuje się z przelicznikiem objętości gazu CNG i reaguje na przyrost wartości przepływu. Zgodnie z zadaną za pomocą wybieraka wartością określony przyrost objętości gazu przepływającego przez przelicznik powoduje inicjację sekwencji polegającą na wysterowaniu sprężonego powietrza lub azotu do pneumatycznego napędu będącego częścią instalacji nawaniali wtryskowej(znajdującej się w strefie zagrożenia wybuchem). </w:t>
      </w:r>
    </w:p>
    <w:p w:rsidR="00D54588" w:rsidRPr="00FB0EDD" w:rsidRDefault="00D54588" w:rsidP="009F0A97">
      <w:pPr>
        <w:pStyle w:val="Bezodstpw1"/>
        <w:jc w:val="left"/>
      </w:pPr>
    </w:p>
    <w:p w:rsidR="00D54588" w:rsidRPr="00FB0EDD" w:rsidRDefault="00D54588" w:rsidP="009F0A97">
      <w:pPr>
        <w:pStyle w:val="Bezodstpw1"/>
        <w:jc w:val="left"/>
      </w:pPr>
      <w:r w:rsidRPr="00FB0EDD">
        <w:t>Parametry elektryczne:</w:t>
      </w:r>
    </w:p>
    <w:p w:rsidR="00D54588" w:rsidRPr="00FB0EDD" w:rsidRDefault="00D54588" w:rsidP="009F0A97">
      <w:pPr>
        <w:pStyle w:val="Bezodstpw1"/>
        <w:jc w:val="left"/>
      </w:pPr>
      <w:r w:rsidRPr="00FB0EDD">
        <w:t>Napięcie zasilanie: 230 VAC</w:t>
      </w:r>
    </w:p>
    <w:p w:rsidR="00D54588" w:rsidRPr="00FB0EDD" w:rsidRDefault="00D54588" w:rsidP="009F0A97">
      <w:pPr>
        <w:pStyle w:val="Bezodstpw1"/>
        <w:jc w:val="left"/>
      </w:pPr>
      <w:r w:rsidRPr="00FB0EDD">
        <w:t>Moc: 30W</w:t>
      </w:r>
    </w:p>
    <w:p w:rsidR="00D54588" w:rsidRPr="00FB0EDD" w:rsidRDefault="00D54588" w:rsidP="009F0A97">
      <w:pPr>
        <w:pStyle w:val="Bezodstpw1"/>
        <w:jc w:val="left"/>
      </w:pPr>
      <w:r w:rsidRPr="00FB0EDD">
        <w:t>Ciśnienie wejściowe pneumatyki: max. 6 bar</w:t>
      </w:r>
    </w:p>
    <w:p w:rsidR="00D54588" w:rsidRPr="00FB0EDD" w:rsidRDefault="00D54588" w:rsidP="009F0A97">
      <w:pPr>
        <w:pStyle w:val="Bezodstpw1"/>
        <w:jc w:val="left"/>
      </w:pPr>
    </w:p>
    <w:p w:rsidR="00D54588" w:rsidRPr="00FB0EDD" w:rsidRDefault="00D54588" w:rsidP="006501B2">
      <w:pPr>
        <w:pStyle w:val="Bezodstpw1"/>
        <w:rPr>
          <w:strike/>
        </w:rPr>
      </w:pPr>
    </w:p>
    <w:p w:rsidR="00D54588" w:rsidRPr="00FB0EDD" w:rsidRDefault="00D54588" w:rsidP="006501B2">
      <w:pPr>
        <w:pStyle w:val="Bezodstpw1"/>
      </w:pPr>
      <w:r w:rsidRPr="00FB0EDD">
        <w:t>Ad. Część 2):</w:t>
      </w:r>
    </w:p>
    <w:p w:rsidR="00D54588" w:rsidRPr="00FB0EDD" w:rsidRDefault="00D54588" w:rsidP="006501B2">
      <w:pPr>
        <w:pStyle w:val="Bezodstpw1"/>
      </w:pPr>
    </w:p>
    <w:p w:rsidR="00D54588" w:rsidRPr="00675AC0" w:rsidRDefault="00D54588" w:rsidP="006501B2">
      <w:pPr>
        <w:pStyle w:val="Bezodstpw1"/>
      </w:pPr>
      <w:r w:rsidRPr="00FB0EDD">
        <w:t xml:space="preserve"> Analizy i pomiary  obejmują ocenę przyjętej koncepcji rozwiązania prototypowego na podstawie dokumentacji technicznej i przeprowadzeniu niezbędnych badań dla 2 różnych prototypów urządzeń nazwanych Urządzenie 1 i Urządzenie 2.</w:t>
      </w:r>
      <w:r w:rsidRPr="00675AC0">
        <w:t xml:space="preserve"> </w:t>
      </w:r>
    </w:p>
    <w:p w:rsidR="00D54588" w:rsidRDefault="00D54588" w:rsidP="00E126C1">
      <w:pPr>
        <w:pStyle w:val="Bezodstpw1"/>
      </w:pPr>
    </w:p>
    <w:p w:rsidR="00D54588" w:rsidRPr="00E126C1" w:rsidRDefault="00D54588" w:rsidP="00E126C1">
      <w:pPr>
        <w:pStyle w:val="Bezodstpw1"/>
      </w:pPr>
      <w:r w:rsidRPr="00E126C1">
        <w:t xml:space="preserve">Zgodnie z klasyfikacją stref zagrożenia wybuchem, urządzenia należą do grupy II kategoria 2G z obwodami iskrobezpiecznymi i optycznymi. </w:t>
      </w:r>
    </w:p>
    <w:p w:rsidR="00D54588" w:rsidRPr="00675AC0" w:rsidRDefault="00D54588" w:rsidP="006501B2">
      <w:pPr>
        <w:pStyle w:val="Bezodstpw1"/>
      </w:pPr>
    </w:p>
    <w:p w:rsidR="00D54588" w:rsidRPr="00675AC0" w:rsidRDefault="00D54588" w:rsidP="006501B2">
      <w:pPr>
        <w:pStyle w:val="Bezodstpw1"/>
      </w:pPr>
    </w:p>
    <w:p w:rsidR="00D54588" w:rsidRPr="00675AC0" w:rsidRDefault="00D54588" w:rsidP="006501B2">
      <w:pPr>
        <w:pStyle w:val="Bezodstpw1"/>
      </w:pPr>
      <w:bookmarkStart w:id="2" w:name="_Hlk105138795"/>
      <w:r w:rsidRPr="00675AC0">
        <w:t>Planowane cechy przeciwwybuchowe do badanych urządzeń:</w:t>
      </w:r>
    </w:p>
    <w:p w:rsidR="00D54588" w:rsidRPr="00675AC0" w:rsidRDefault="00D54588" w:rsidP="006501B2">
      <w:pPr>
        <w:pStyle w:val="Bezodstpw1"/>
      </w:pPr>
      <w:r w:rsidRPr="00675AC0">
        <w:t>Urządzenie 1  - urządzenie towarzyszące iskrobezpieczne oznakowane:</w:t>
      </w:r>
    </w:p>
    <w:p w:rsidR="00D54588" w:rsidRPr="00675AC0" w:rsidRDefault="00D54588" w:rsidP="006501B2">
      <w:pPr>
        <w:pStyle w:val="Bezodstpw1"/>
      </w:pPr>
    </w:p>
    <w:p w:rsidR="00D54588" w:rsidRPr="00DF0ECA" w:rsidRDefault="00D54588" w:rsidP="006501B2">
      <w:pPr>
        <w:pStyle w:val="Bezodstpw1"/>
      </w:pPr>
      <w:r w:rsidRPr="00675AC0">
        <w:t xml:space="preserve">     </w:t>
      </w:r>
      <w:r w:rsidRPr="00DF0ECA">
        <w:t>II 2G [EX ib op is Gb] IIA</w:t>
      </w:r>
    </w:p>
    <w:p w:rsidR="00D54588" w:rsidRPr="00675AC0" w:rsidRDefault="00D54588" w:rsidP="006501B2">
      <w:pPr>
        <w:pStyle w:val="Bezodstpw1"/>
      </w:pPr>
    </w:p>
    <w:p w:rsidR="00D54588" w:rsidRPr="00675AC0" w:rsidRDefault="00D54588" w:rsidP="006501B2">
      <w:pPr>
        <w:pStyle w:val="Bezodstpw1"/>
      </w:pPr>
      <w:r w:rsidRPr="00675AC0">
        <w:t>Urządzenie 2 - urządzenie w wykonaniu iskrobezpiecznym oznakowane:</w:t>
      </w:r>
    </w:p>
    <w:p w:rsidR="00D54588" w:rsidRPr="00675AC0" w:rsidRDefault="00D54588" w:rsidP="006501B2">
      <w:pPr>
        <w:pStyle w:val="Bezodstpw1"/>
      </w:pPr>
    </w:p>
    <w:p w:rsidR="00D54588" w:rsidRPr="00DF0ECA" w:rsidRDefault="00D54588" w:rsidP="006501B2">
      <w:pPr>
        <w:pStyle w:val="Bezodstpw1"/>
      </w:pPr>
      <w:r w:rsidRPr="00675AC0">
        <w:t xml:space="preserve">     </w:t>
      </w:r>
      <w:r w:rsidRPr="00DF0ECA">
        <w:t>II 2G Ex ib op is IIA T4 Gb</w:t>
      </w:r>
    </w:p>
    <w:p w:rsidR="00D54588" w:rsidRPr="00675AC0" w:rsidRDefault="00D54588" w:rsidP="006501B2">
      <w:pPr>
        <w:pStyle w:val="Bezodstpw1"/>
      </w:pPr>
    </w:p>
    <w:p w:rsidR="00D54588" w:rsidRPr="00675AC0" w:rsidRDefault="00D54588" w:rsidP="006501B2">
      <w:pPr>
        <w:pStyle w:val="Bezodstpw1"/>
      </w:pPr>
      <w:r w:rsidRPr="00675AC0">
        <w:t>Połączenie między urządzeniami realizowane będzie przy pomocy obwodów  iskrobezpiecznych i światłowodu.</w:t>
      </w:r>
    </w:p>
    <w:bookmarkEnd w:id="2"/>
    <w:p w:rsidR="00D54588" w:rsidRPr="00675AC0" w:rsidRDefault="00D54588" w:rsidP="006501B2">
      <w:pPr>
        <w:pStyle w:val="Bezodstpw1"/>
      </w:pPr>
    </w:p>
    <w:p w:rsidR="00D54588" w:rsidRDefault="00D54588" w:rsidP="006501B2">
      <w:pPr>
        <w:pStyle w:val="Bezodstpw1"/>
      </w:pPr>
    </w:p>
    <w:p w:rsidR="00D54588" w:rsidRPr="007F6EE7" w:rsidRDefault="00D54588" w:rsidP="006501B2">
      <w:pPr>
        <w:pStyle w:val="Bezodstpw1"/>
      </w:pPr>
      <w:r w:rsidRPr="007F6EE7">
        <w:t xml:space="preserve">Część wspólna </w:t>
      </w:r>
    </w:p>
    <w:p w:rsidR="00D54588" w:rsidRPr="007F6EE7" w:rsidRDefault="00D54588" w:rsidP="006501B2">
      <w:pPr>
        <w:pStyle w:val="Bezodstpw1"/>
      </w:pPr>
    </w:p>
    <w:p w:rsidR="00D54588" w:rsidRPr="00675AC0" w:rsidRDefault="00D54588" w:rsidP="006501B2">
      <w:pPr>
        <w:pStyle w:val="Bezodstpw1"/>
      </w:pPr>
    </w:p>
    <w:p w:rsidR="00D54588" w:rsidRPr="00675AC0" w:rsidRDefault="00D54588" w:rsidP="006501B2">
      <w:pPr>
        <w:pStyle w:val="Bezodstpw1"/>
      </w:pPr>
      <w:r w:rsidRPr="00675AC0">
        <w:t>Badania należy wykonać na zgodność z zasadniczymi wymaganiami dla urządzeń i systemów ochronnych przeznaczonych do użytku w przestrzeniach zagrożonych wybuchem określonych w Dyrektywie АТЕХ 94/9/WE (wdrożonej Rozporządzeniem Ministra Gospodarki z 22 grudnia 2005 r. -Dz. U. Nr 263, poz. 2203), oraz normami zharmonizowanymi z tą dyrektywą:</w:t>
      </w:r>
    </w:p>
    <w:p w:rsidR="00D54588" w:rsidRPr="00675AC0" w:rsidRDefault="00D54588" w:rsidP="006501B2">
      <w:pPr>
        <w:pStyle w:val="Bezodstpw1"/>
      </w:pPr>
    </w:p>
    <w:p w:rsidR="00D54588" w:rsidRPr="00675AC0" w:rsidRDefault="00D54588" w:rsidP="006501B2">
      <w:pPr>
        <w:pStyle w:val="Bezodstpw1"/>
      </w:pPr>
      <w:r w:rsidRPr="00675AC0">
        <w:t>Odniesienia normatywne</w:t>
      </w:r>
    </w:p>
    <w:p w:rsidR="00D54588" w:rsidRPr="00675AC0" w:rsidRDefault="00D54588" w:rsidP="006501B2">
      <w:pPr>
        <w:pStyle w:val="Bezodstpw1"/>
      </w:pPr>
      <w:r w:rsidRPr="00675AC0">
        <w:t>Ocenę należy wykonać według wybranych wymagań z norm:</w:t>
      </w:r>
    </w:p>
    <w:p w:rsidR="00D54588" w:rsidRDefault="00D54588" w:rsidP="006501B2">
      <w:pPr>
        <w:pStyle w:val="Bezodstpw1"/>
        <w:numPr>
          <w:ilvl w:val="0"/>
          <w:numId w:val="24"/>
        </w:numPr>
      </w:pPr>
      <w:r w:rsidRPr="00675AC0">
        <w:t>PN-EN IEC 60079-0:2018-09 - Atmosfery wybuchowe -- Część 0: Urządzenia -- Podstawowe wymagania</w:t>
      </w:r>
    </w:p>
    <w:p w:rsidR="00D54588" w:rsidRPr="00B21DB6" w:rsidRDefault="00D54588" w:rsidP="006501B2">
      <w:pPr>
        <w:pStyle w:val="Bezodstpw1"/>
        <w:numPr>
          <w:ilvl w:val="0"/>
          <w:numId w:val="24"/>
        </w:numPr>
      </w:pPr>
      <w:r w:rsidRPr="00B21DB6">
        <w:t>PN-EN IEC 60079-1:2014-12 - Atmosfery wybuchowe -- Część 1: Zabezpieczenie urządzeń za pomocą osłon ognioszczelnych „d”</w:t>
      </w:r>
    </w:p>
    <w:p w:rsidR="00D54588" w:rsidRPr="00675AC0" w:rsidRDefault="00D54588" w:rsidP="006501B2">
      <w:pPr>
        <w:pStyle w:val="Bezodstpw1"/>
        <w:numPr>
          <w:ilvl w:val="0"/>
          <w:numId w:val="24"/>
        </w:numPr>
      </w:pPr>
      <w:r w:rsidRPr="00675AC0">
        <w:t>PN-EN 60079-11:2012 Atmosfery wybuchowe -- Część 11: Zabezpieczenie urządzeń za pomocą iskrobezpieczeństwa "i"</w:t>
      </w:r>
    </w:p>
    <w:p w:rsidR="00D54588" w:rsidRPr="006476BB" w:rsidRDefault="00D54588" w:rsidP="006501B2">
      <w:pPr>
        <w:pStyle w:val="Bezodstpw1"/>
        <w:numPr>
          <w:ilvl w:val="0"/>
          <w:numId w:val="24"/>
        </w:numPr>
      </w:pPr>
      <w:r w:rsidRPr="006476BB">
        <w:t>PN-EN 60079-2</w:t>
      </w:r>
      <w:r>
        <w:t xml:space="preserve">5:2011 - Atmosfery wybuchowe - </w:t>
      </w:r>
      <w:r w:rsidRPr="006476BB">
        <w:t>Część 25: Systemy iskrobezpieczne</w:t>
      </w:r>
    </w:p>
    <w:p w:rsidR="00D54588" w:rsidRPr="00675AC0" w:rsidRDefault="00D54588" w:rsidP="006501B2">
      <w:pPr>
        <w:pStyle w:val="Bezodstpw1"/>
        <w:numPr>
          <w:ilvl w:val="0"/>
          <w:numId w:val="24"/>
        </w:numPr>
      </w:pPr>
      <w:r w:rsidRPr="00675AC0">
        <w:t>PN-EN 60079-28:2015-12 - Atmosfery wybuchowe -- Część 28: Zabezpieczenie urządzeń oraz systemów transmisji wykorzystujących promieniowanie optyczne.</w:t>
      </w:r>
    </w:p>
    <w:p w:rsidR="00D54588" w:rsidRPr="00675AC0" w:rsidRDefault="00D54588" w:rsidP="006501B2">
      <w:pPr>
        <w:pStyle w:val="Bezodstpw1"/>
      </w:pPr>
    </w:p>
    <w:p w:rsidR="00D54588" w:rsidRPr="00FB0EDD" w:rsidRDefault="00D54588" w:rsidP="00E126C1">
      <w:pPr>
        <w:pStyle w:val="Bezodstpw1"/>
      </w:pPr>
      <w:r w:rsidRPr="00FB0EDD">
        <w:t xml:space="preserve">Zamawiający udostępni opis techniczny i dokumentację techniczną do oceny na poziomie prototypów urządzeń.  </w:t>
      </w:r>
    </w:p>
    <w:p w:rsidR="00D54588" w:rsidRPr="00FB0EDD" w:rsidRDefault="00D54588" w:rsidP="00E126C1">
      <w:pPr>
        <w:pStyle w:val="Bezodstpw1"/>
      </w:pPr>
    </w:p>
    <w:p w:rsidR="00D54588" w:rsidRPr="00FB0EDD" w:rsidRDefault="00D54588" w:rsidP="006501B2">
      <w:pPr>
        <w:pStyle w:val="Bezodstpw1"/>
      </w:pPr>
    </w:p>
    <w:p w:rsidR="00D54588" w:rsidRPr="00FB0EDD" w:rsidRDefault="00D54588" w:rsidP="006501B2">
      <w:pPr>
        <w:pStyle w:val="Bezodstpw1"/>
      </w:pPr>
      <w:r w:rsidRPr="00FB0EDD">
        <w:t>Wymagana jest możliwość wprowadzenia zmian przez Zamawiającego w konstrukcji prototypów urządzeń w przypadku wykrycia niezgodności i powtórna ocena konstrukcji.</w:t>
      </w:r>
    </w:p>
    <w:p w:rsidR="00D54588" w:rsidRPr="00FB0EDD" w:rsidRDefault="00D54588" w:rsidP="006501B2">
      <w:pPr>
        <w:pStyle w:val="Bezodstpw1"/>
      </w:pPr>
    </w:p>
    <w:p w:rsidR="00D54588" w:rsidRPr="00FB0EDD" w:rsidRDefault="00D54588" w:rsidP="006E56B4">
      <w:pPr>
        <w:spacing w:line="360" w:lineRule="auto"/>
        <w:jc w:val="both"/>
        <w:rPr>
          <w:rFonts w:ascii="Arial" w:hAnsi="Arial" w:cs="Arial"/>
          <w:b/>
          <w:sz w:val="20"/>
          <w:szCs w:val="20"/>
        </w:rPr>
      </w:pPr>
    </w:p>
    <w:p w:rsidR="00D54588" w:rsidRDefault="00D54588" w:rsidP="006E56B4">
      <w:pPr>
        <w:numPr>
          <w:ilvl w:val="0"/>
          <w:numId w:val="8"/>
        </w:numPr>
        <w:ind w:left="448" w:hanging="164"/>
        <w:jc w:val="both"/>
        <w:rPr>
          <w:rFonts w:ascii="Arial" w:hAnsi="Arial" w:cs="Arial"/>
          <w:sz w:val="20"/>
          <w:szCs w:val="20"/>
        </w:rPr>
      </w:pPr>
      <w:r w:rsidRPr="00FB0EDD">
        <w:rPr>
          <w:rFonts w:ascii="Arial" w:hAnsi="Arial" w:cs="Arial"/>
          <w:b/>
          <w:sz w:val="20"/>
          <w:szCs w:val="20"/>
        </w:rPr>
        <w:t>Wymagany termin realizacji zamówienia:</w:t>
      </w:r>
      <w:r w:rsidRPr="00FB0EDD">
        <w:rPr>
          <w:rFonts w:ascii="Arial" w:hAnsi="Arial" w:cs="Arial"/>
          <w:sz w:val="20"/>
          <w:szCs w:val="20"/>
        </w:rPr>
        <w:t xml:space="preserve"> </w:t>
      </w:r>
      <w:r w:rsidRPr="00FB0EDD">
        <w:rPr>
          <w:rFonts w:ascii="Arial" w:hAnsi="Arial" w:cs="Arial"/>
          <w:b/>
          <w:bCs/>
          <w:sz w:val="20"/>
          <w:szCs w:val="20"/>
        </w:rPr>
        <w:t xml:space="preserve">do </w:t>
      </w:r>
      <w:r w:rsidRPr="001A3B37">
        <w:rPr>
          <w:rFonts w:ascii="Arial" w:hAnsi="Arial" w:cs="Arial"/>
          <w:b/>
          <w:bCs/>
          <w:sz w:val="20"/>
          <w:szCs w:val="20"/>
        </w:rPr>
        <w:t>8  tygodni</w:t>
      </w:r>
      <w:bookmarkStart w:id="3" w:name="_GoBack"/>
      <w:bookmarkEnd w:id="3"/>
      <w:r>
        <w:rPr>
          <w:rFonts w:ascii="Arial" w:hAnsi="Arial" w:cs="Arial"/>
          <w:sz w:val="20"/>
          <w:szCs w:val="20"/>
        </w:rPr>
        <w:t xml:space="preserve"> od podpisania umowy</w:t>
      </w:r>
      <w:r w:rsidRPr="00675AC0">
        <w:rPr>
          <w:rFonts w:ascii="Arial" w:hAnsi="Arial" w:cs="Arial"/>
          <w:sz w:val="20"/>
          <w:szCs w:val="20"/>
        </w:rPr>
        <w:t xml:space="preserve">. Szczegółowe warunki realizacji zamówienia przedstawiono w projekcie umowy - </w:t>
      </w:r>
      <w:r w:rsidRPr="00791F97">
        <w:rPr>
          <w:rFonts w:ascii="Arial" w:hAnsi="Arial" w:cs="Arial"/>
          <w:b/>
          <w:sz w:val="20"/>
          <w:szCs w:val="20"/>
        </w:rPr>
        <w:t>załączniku nr 2</w:t>
      </w:r>
      <w:r w:rsidRPr="00791F97">
        <w:rPr>
          <w:rFonts w:ascii="Arial" w:hAnsi="Arial" w:cs="Arial"/>
          <w:sz w:val="20"/>
          <w:szCs w:val="20"/>
        </w:rPr>
        <w:t>.</w:t>
      </w:r>
    </w:p>
    <w:p w:rsidR="00D54588" w:rsidRDefault="00D54588" w:rsidP="00B974D3">
      <w:pPr>
        <w:ind w:left="448"/>
        <w:jc w:val="both"/>
        <w:rPr>
          <w:rFonts w:ascii="Arial" w:hAnsi="Arial" w:cs="Arial"/>
          <w:sz w:val="20"/>
          <w:szCs w:val="20"/>
        </w:rPr>
      </w:pPr>
    </w:p>
    <w:p w:rsidR="00D54588" w:rsidRPr="00F53AAB" w:rsidRDefault="00D54588" w:rsidP="006E56B4">
      <w:pPr>
        <w:numPr>
          <w:ilvl w:val="0"/>
          <w:numId w:val="8"/>
        </w:numPr>
        <w:ind w:left="448" w:hanging="164"/>
        <w:jc w:val="both"/>
        <w:rPr>
          <w:rFonts w:ascii="Arial" w:hAnsi="Arial" w:cs="Arial"/>
          <w:sz w:val="20"/>
          <w:szCs w:val="20"/>
        </w:rPr>
      </w:pPr>
      <w:r w:rsidRPr="00F53AAB">
        <w:rPr>
          <w:rFonts w:ascii="Arial" w:hAnsi="Arial" w:cs="Arial"/>
          <w:b/>
          <w:sz w:val="20"/>
          <w:szCs w:val="20"/>
        </w:rPr>
        <w:t>Dokumenty zawierające „</w:t>
      </w:r>
      <w:r>
        <w:rPr>
          <w:rFonts w:ascii="Arial" w:hAnsi="Arial" w:cs="Arial"/>
          <w:b/>
          <w:bCs/>
          <w:sz w:val="20"/>
          <w:szCs w:val="20"/>
        </w:rPr>
        <w:t>Opis techniczny</w:t>
      </w:r>
      <w:r w:rsidRPr="00F53AAB">
        <w:rPr>
          <w:rFonts w:ascii="Arial" w:hAnsi="Arial" w:cs="Arial"/>
          <w:bCs/>
          <w:sz w:val="20"/>
          <w:szCs w:val="20"/>
        </w:rPr>
        <w:t xml:space="preserve">” zostaną udostępnione po podpisaniu klauzuli o poufności między Zamawiającym i Oferentem – </w:t>
      </w:r>
      <w:r w:rsidRPr="00F53AAB">
        <w:rPr>
          <w:rFonts w:ascii="Arial" w:hAnsi="Arial" w:cs="Arial"/>
          <w:b/>
          <w:bCs/>
          <w:sz w:val="20"/>
          <w:szCs w:val="20"/>
        </w:rPr>
        <w:t xml:space="preserve">załącznik nr 3. </w:t>
      </w:r>
      <w:r w:rsidRPr="00F53AAB">
        <w:rPr>
          <w:rFonts w:ascii="Arial" w:hAnsi="Arial" w:cs="Arial"/>
          <w:bCs/>
          <w:sz w:val="20"/>
          <w:szCs w:val="20"/>
        </w:rPr>
        <w:t>Należy przesłać podpisany skan przez osobę upoważnioną do reprezentowania firmy.</w:t>
      </w:r>
    </w:p>
    <w:p w:rsidR="00D54588" w:rsidRPr="00675AC0" w:rsidRDefault="00D54588" w:rsidP="006E56B4">
      <w:pPr>
        <w:numPr>
          <w:ilvl w:val="0"/>
          <w:numId w:val="8"/>
        </w:numPr>
        <w:spacing w:before="120" w:line="360" w:lineRule="auto"/>
        <w:ind w:left="448" w:hanging="164"/>
        <w:jc w:val="both"/>
        <w:rPr>
          <w:rFonts w:ascii="Arial" w:hAnsi="Arial" w:cs="Arial"/>
          <w:b/>
          <w:sz w:val="20"/>
          <w:szCs w:val="20"/>
        </w:rPr>
      </w:pPr>
      <w:r w:rsidRPr="00675AC0">
        <w:rPr>
          <w:rFonts w:ascii="Arial" w:hAnsi="Arial" w:cs="Arial"/>
          <w:b/>
          <w:sz w:val="20"/>
          <w:szCs w:val="20"/>
        </w:rPr>
        <w:t>Termin składania ofert</w:t>
      </w:r>
      <w:r w:rsidRPr="00825F50">
        <w:rPr>
          <w:rFonts w:ascii="Arial" w:hAnsi="Arial" w:cs="Arial"/>
          <w:b/>
          <w:sz w:val="20"/>
          <w:szCs w:val="20"/>
        </w:rPr>
        <w:t>:</w:t>
      </w:r>
      <w:r w:rsidRPr="00825F50">
        <w:rPr>
          <w:rFonts w:ascii="Arial" w:hAnsi="Arial" w:cs="Arial"/>
          <w:sz w:val="20"/>
          <w:szCs w:val="20"/>
        </w:rPr>
        <w:t xml:space="preserve"> do </w:t>
      </w:r>
      <w:r w:rsidRPr="001A3B37">
        <w:rPr>
          <w:rFonts w:ascii="Arial" w:hAnsi="Arial" w:cs="Arial"/>
          <w:sz w:val="20"/>
          <w:szCs w:val="20"/>
        </w:rPr>
        <w:t>28.02.2023r. godz. 12</w:t>
      </w:r>
      <w:r w:rsidRPr="001A3B37">
        <w:rPr>
          <w:rFonts w:ascii="Arial" w:hAnsi="Arial" w:cs="Arial"/>
          <w:sz w:val="20"/>
          <w:szCs w:val="20"/>
          <w:vertAlign w:val="superscript"/>
        </w:rPr>
        <w:t>00</w:t>
      </w:r>
      <w:r w:rsidRPr="001A3B37">
        <w:rPr>
          <w:rFonts w:ascii="Arial" w:hAnsi="Arial" w:cs="Arial"/>
          <w:sz w:val="20"/>
          <w:szCs w:val="20"/>
        </w:rPr>
        <w:t>.</w:t>
      </w:r>
    </w:p>
    <w:p w:rsidR="00D54588" w:rsidRPr="00675AC0" w:rsidRDefault="00D54588" w:rsidP="006E56B4">
      <w:pPr>
        <w:numPr>
          <w:ilvl w:val="0"/>
          <w:numId w:val="8"/>
        </w:numPr>
        <w:spacing w:line="360" w:lineRule="auto"/>
        <w:jc w:val="both"/>
        <w:rPr>
          <w:rFonts w:ascii="Arial" w:hAnsi="Arial" w:cs="Arial"/>
          <w:b/>
          <w:color w:val="000000"/>
          <w:sz w:val="20"/>
          <w:szCs w:val="20"/>
        </w:rPr>
      </w:pPr>
      <w:r w:rsidRPr="00675AC0">
        <w:rPr>
          <w:rFonts w:ascii="Arial" w:hAnsi="Arial" w:cs="Arial"/>
          <w:sz w:val="20"/>
          <w:szCs w:val="20"/>
        </w:rPr>
        <w:t xml:space="preserve"> </w:t>
      </w:r>
      <w:r w:rsidRPr="00675AC0">
        <w:rPr>
          <w:rFonts w:ascii="Arial" w:hAnsi="Arial" w:cs="Arial"/>
          <w:b/>
          <w:color w:val="000000"/>
          <w:sz w:val="20"/>
          <w:szCs w:val="20"/>
        </w:rPr>
        <w:t xml:space="preserve">Sposób i miejsce składania ofert </w:t>
      </w:r>
    </w:p>
    <w:p w:rsidR="00D54588" w:rsidRPr="00675AC0" w:rsidRDefault="00D54588" w:rsidP="006E56B4">
      <w:pPr>
        <w:ind w:left="288" w:firstLine="279"/>
        <w:jc w:val="both"/>
        <w:rPr>
          <w:rFonts w:ascii="Arial" w:hAnsi="Arial" w:cs="Arial"/>
          <w:color w:val="000000"/>
          <w:sz w:val="20"/>
          <w:szCs w:val="20"/>
        </w:rPr>
      </w:pPr>
      <w:r w:rsidRPr="00675AC0">
        <w:rPr>
          <w:rFonts w:ascii="Arial" w:hAnsi="Arial" w:cs="Arial"/>
          <w:color w:val="000000"/>
          <w:sz w:val="20"/>
          <w:szCs w:val="20"/>
        </w:rPr>
        <w:t>Oferta sporządzona na formularzy ofertowym (</w:t>
      </w:r>
      <w:r w:rsidRPr="00825F50">
        <w:rPr>
          <w:rFonts w:ascii="Arial" w:hAnsi="Arial" w:cs="Arial"/>
          <w:b/>
          <w:sz w:val="20"/>
          <w:szCs w:val="20"/>
        </w:rPr>
        <w:t>zał</w:t>
      </w:r>
      <w:r>
        <w:rPr>
          <w:rFonts w:ascii="Arial" w:hAnsi="Arial" w:cs="Arial"/>
          <w:b/>
          <w:sz w:val="20"/>
          <w:szCs w:val="20"/>
        </w:rPr>
        <w:t>ącznik n</w:t>
      </w:r>
      <w:r w:rsidRPr="00825F50">
        <w:rPr>
          <w:rFonts w:ascii="Arial" w:hAnsi="Arial" w:cs="Arial"/>
          <w:b/>
          <w:sz w:val="20"/>
          <w:szCs w:val="20"/>
        </w:rPr>
        <w:t>r 1</w:t>
      </w:r>
      <w:r w:rsidRPr="00675AC0">
        <w:rPr>
          <w:rFonts w:ascii="Arial" w:hAnsi="Arial" w:cs="Arial"/>
          <w:color w:val="000000"/>
          <w:sz w:val="20"/>
          <w:szCs w:val="20"/>
        </w:rPr>
        <w:t xml:space="preserve">) powinna być przesłana pocztą elektroniczną na adres: </w:t>
      </w:r>
      <w:hyperlink r:id="rId10" w:history="1">
        <w:r w:rsidRPr="00675AC0">
          <w:rPr>
            <w:rStyle w:val="Hyperlink"/>
            <w:rFonts w:ascii="Arial" w:hAnsi="Arial" w:cs="Arial"/>
            <w:sz w:val="20"/>
            <w:szCs w:val="20"/>
          </w:rPr>
          <w:t>michal.kalicki@itr.lukasiewicz.gov.pl</w:t>
        </w:r>
      </w:hyperlink>
      <w:r w:rsidRPr="00675AC0">
        <w:rPr>
          <w:rFonts w:ascii="Arial" w:hAnsi="Arial" w:cs="Arial"/>
          <w:color w:val="000000"/>
          <w:sz w:val="20"/>
          <w:szCs w:val="20"/>
        </w:rPr>
        <w:t xml:space="preserve"> </w:t>
      </w:r>
    </w:p>
    <w:p w:rsidR="00D54588" w:rsidRPr="00675AC0" w:rsidRDefault="00D54588" w:rsidP="006E56B4">
      <w:pPr>
        <w:numPr>
          <w:ilvl w:val="0"/>
          <w:numId w:val="8"/>
        </w:numPr>
        <w:tabs>
          <w:tab w:val="clear" w:pos="450"/>
          <w:tab w:val="num" w:pos="567"/>
        </w:tabs>
        <w:spacing w:before="120" w:line="360" w:lineRule="auto"/>
        <w:ind w:left="448" w:hanging="164"/>
        <w:rPr>
          <w:rFonts w:ascii="Arial" w:hAnsi="Arial" w:cs="Arial"/>
          <w:color w:val="000000"/>
          <w:sz w:val="20"/>
          <w:szCs w:val="20"/>
        </w:rPr>
      </w:pPr>
      <w:r w:rsidRPr="00675AC0">
        <w:rPr>
          <w:rFonts w:ascii="Arial" w:hAnsi="Arial" w:cs="Arial"/>
          <w:b/>
          <w:color w:val="000000"/>
          <w:sz w:val="20"/>
          <w:szCs w:val="20"/>
        </w:rPr>
        <w:t>Kryterium oceny ofert:</w:t>
      </w:r>
      <w:r w:rsidRPr="00675AC0">
        <w:rPr>
          <w:rFonts w:ascii="Arial" w:hAnsi="Arial" w:cs="Arial"/>
          <w:color w:val="000000"/>
          <w:sz w:val="20"/>
          <w:szCs w:val="20"/>
        </w:rPr>
        <w:t xml:space="preserve"> </w:t>
      </w:r>
    </w:p>
    <w:p w:rsidR="00D54588" w:rsidRPr="00825F50" w:rsidRDefault="00D54588" w:rsidP="00825F50">
      <w:pPr>
        <w:spacing w:line="360" w:lineRule="auto"/>
        <w:ind w:left="284"/>
        <w:rPr>
          <w:rFonts w:ascii="Arial" w:hAnsi="Arial" w:cs="Arial"/>
          <w:sz w:val="20"/>
          <w:szCs w:val="20"/>
        </w:rPr>
      </w:pPr>
      <w:r>
        <w:rPr>
          <w:rFonts w:ascii="Arial" w:hAnsi="Arial" w:cs="Arial"/>
          <w:color w:val="000000"/>
          <w:sz w:val="20"/>
          <w:szCs w:val="20"/>
        </w:rPr>
        <w:t>- c</w:t>
      </w:r>
      <w:r w:rsidRPr="00675AC0">
        <w:rPr>
          <w:rFonts w:ascii="Arial" w:hAnsi="Arial" w:cs="Arial"/>
          <w:color w:val="000000"/>
          <w:sz w:val="20"/>
          <w:szCs w:val="20"/>
        </w:rPr>
        <w:t>ena (</w:t>
      </w:r>
      <w:r w:rsidRPr="00675AC0">
        <w:rPr>
          <w:rFonts w:ascii="Arial" w:hAnsi="Arial" w:cs="Arial"/>
          <w:sz w:val="20"/>
          <w:szCs w:val="20"/>
        </w:rPr>
        <w:t>zawierająca wszystkie koszty związane z wykonaniem zamówienia)</w:t>
      </w:r>
      <w:r w:rsidRPr="00675AC0">
        <w:rPr>
          <w:rFonts w:ascii="Arial" w:hAnsi="Arial" w:cs="Arial"/>
          <w:sz w:val="20"/>
          <w:szCs w:val="20"/>
        </w:rPr>
        <w:tab/>
        <w:t>- 100 %</w:t>
      </w:r>
    </w:p>
    <w:p w:rsidR="00D54588" w:rsidRPr="00675AC0" w:rsidRDefault="00D54588" w:rsidP="001F1434">
      <w:pPr>
        <w:spacing w:line="360" w:lineRule="auto"/>
        <w:ind w:firstLine="284"/>
        <w:rPr>
          <w:rFonts w:ascii="Arial" w:hAnsi="Arial" w:cs="Arial"/>
          <w:color w:val="000000"/>
          <w:sz w:val="20"/>
          <w:szCs w:val="20"/>
        </w:rPr>
      </w:pPr>
      <w:r>
        <w:rPr>
          <w:rFonts w:ascii="Arial" w:hAnsi="Arial" w:cs="Arial"/>
          <w:color w:val="000000"/>
          <w:sz w:val="20"/>
          <w:szCs w:val="20"/>
        </w:rPr>
        <w:t>- s</w:t>
      </w:r>
      <w:r w:rsidRPr="00675AC0">
        <w:rPr>
          <w:rFonts w:ascii="Arial" w:hAnsi="Arial" w:cs="Arial"/>
          <w:color w:val="000000"/>
          <w:sz w:val="20"/>
          <w:szCs w:val="20"/>
        </w:rPr>
        <w:t>pełniania wymagań określonych przez Instytut (Zamawiającego)</w:t>
      </w:r>
      <w:r w:rsidRPr="00675AC0">
        <w:rPr>
          <w:rFonts w:ascii="Arial" w:hAnsi="Arial" w:cs="Arial"/>
          <w:color w:val="000000"/>
          <w:sz w:val="20"/>
          <w:szCs w:val="20"/>
        </w:rPr>
        <w:tab/>
      </w:r>
    </w:p>
    <w:p w:rsidR="00D54588" w:rsidRPr="00675AC0" w:rsidRDefault="00D54588" w:rsidP="001F1434">
      <w:pPr>
        <w:spacing w:line="360" w:lineRule="auto"/>
        <w:ind w:firstLine="284"/>
        <w:rPr>
          <w:rFonts w:ascii="Arial" w:hAnsi="Arial" w:cs="Arial"/>
          <w:color w:val="000000"/>
          <w:sz w:val="20"/>
          <w:szCs w:val="20"/>
        </w:rPr>
      </w:pPr>
      <w:r>
        <w:rPr>
          <w:rFonts w:ascii="Arial" w:hAnsi="Arial" w:cs="Arial"/>
          <w:color w:val="000000"/>
          <w:sz w:val="20"/>
          <w:szCs w:val="20"/>
        </w:rPr>
        <w:t>- o</w:t>
      </w:r>
      <w:r w:rsidRPr="00675AC0">
        <w:rPr>
          <w:rFonts w:ascii="Arial" w:hAnsi="Arial" w:cs="Arial"/>
          <w:color w:val="000000"/>
          <w:sz w:val="20"/>
          <w:szCs w:val="20"/>
        </w:rPr>
        <w:t>ferty będą rozpatr</w:t>
      </w:r>
      <w:r>
        <w:rPr>
          <w:rFonts w:ascii="Arial" w:hAnsi="Arial" w:cs="Arial"/>
          <w:color w:val="000000"/>
          <w:sz w:val="20"/>
          <w:szCs w:val="20"/>
        </w:rPr>
        <w:t>ywane tylko całościowo część 1, część 2 i część wspólna</w:t>
      </w:r>
    </w:p>
    <w:p w:rsidR="00D54588" w:rsidRPr="00675AC0" w:rsidRDefault="00D54588" w:rsidP="006E56B4">
      <w:pPr>
        <w:spacing w:line="360" w:lineRule="auto"/>
        <w:ind w:left="284"/>
        <w:rPr>
          <w:rFonts w:ascii="Arial" w:hAnsi="Arial" w:cs="Arial"/>
          <w:color w:val="000000"/>
          <w:sz w:val="20"/>
          <w:szCs w:val="20"/>
        </w:rPr>
      </w:pPr>
    </w:p>
    <w:p w:rsidR="00D54588" w:rsidRPr="00675AC0" w:rsidRDefault="00D54588" w:rsidP="006E56B4">
      <w:pPr>
        <w:numPr>
          <w:ilvl w:val="0"/>
          <w:numId w:val="8"/>
        </w:numPr>
        <w:jc w:val="both"/>
        <w:rPr>
          <w:rFonts w:ascii="Arial" w:hAnsi="Arial" w:cs="Arial"/>
          <w:b/>
          <w:sz w:val="20"/>
          <w:szCs w:val="20"/>
          <w:u w:val="single"/>
        </w:rPr>
      </w:pPr>
      <w:r w:rsidRPr="00675AC0">
        <w:rPr>
          <w:rFonts w:ascii="Arial" w:hAnsi="Arial" w:cs="Arial"/>
          <w:b/>
          <w:sz w:val="20"/>
          <w:szCs w:val="20"/>
        </w:rPr>
        <w:t>Zakres wykluczenia w postępowaniu.</w:t>
      </w:r>
    </w:p>
    <w:p w:rsidR="00D54588" w:rsidRPr="00675AC0" w:rsidRDefault="00D54588" w:rsidP="006E56B4">
      <w:pPr>
        <w:ind w:left="450"/>
        <w:jc w:val="both"/>
        <w:rPr>
          <w:rFonts w:ascii="Arial" w:hAnsi="Arial" w:cs="Arial"/>
          <w:b/>
          <w:sz w:val="20"/>
          <w:szCs w:val="20"/>
          <w:u w:val="single"/>
        </w:rPr>
      </w:pPr>
      <w:r w:rsidRPr="00675AC0">
        <w:rPr>
          <w:rFonts w:ascii="Arial" w:hAnsi="Arial" w:cs="Arial"/>
          <w:sz w:val="20"/>
          <w:szCs w:val="20"/>
        </w:rPr>
        <w:t xml:space="preserve">Z udziału w postępowaniu wykluczone są podmioty powiązane osobowo i kapitałowo z Zamawiającym. </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ab/>
      </w:r>
      <w:r w:rsidRPr="00675AC0">
        <w:rPr>
          <w:rFonts w:ascii="Arial" w:hAnsi="Arial" w:cs="Arial"/>
          <w:sz w:val="20"/>
          <w:szCs w:val="20"/>
        </w:rPr>
        <w:tab/>
        <w:t>Przez powiązania kapitałowe lub osobowe rozumie się wzajemne powiązania między</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Zamawiającym lub osobami upoważnionymi do zaciągania zobowiązań w imieniu</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Zamawiającego lub osobami wykonującymi w imieniu Zamawiającego czynności związane</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z przeprowadzeniem procedury wyboru wykonawcy a Oferentem, polegające</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w szczególności na:</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a) uczestniczeniu w spółce jako wspólnik spółki cywilnej lub spółki osobowej,</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 xml:space="preserve">b) posiadaniu co najmniej 10% udziałów lub akcji, </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c) pełnieniu funkcji członka organu nadzorczego lub zarządzającego, prokurenta,</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pełnomocnika,</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d) pozostawaniu w związku małżeńskim, w stosunku pokrewieństwa lub powinowactwa</w:t>
      </w:r>
    </w:p>
    <w:p w:rsidR="00D54588" w:rsidRPr="00675AC0"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w linii prostej, pokrewieństwa drugiego stopnia lub powinowactwa drugiego stopnia w linii bocznej lub w stosunku przysposobienia, opieki lub kurateli.</w:t>
      </w:r>
    </w:p>
    <w:p w:rsidR="00D54588" w:rsidRDefault="00D54588" w:rsidP="006E56B4">
      <w:pPr>
        <w:autoSpaceDE w:val="0"/>
        <w:autoSpaceDN w:val="0"/>
        <w:adjustRightInd w:val="0"/>
        <w:ind w:left="284"/>
        <w:rPr>
          <w:rFonts w:ascii="Arial" w:hAnsi="Arial" w:cs="Arial"/>
          <w:sz w:val="20"/>
          <w:szCs w:val="20"/>
        </w:rPr>
      </w:pPr>
      <w:r w:rsidRPr="00675AC0">
        <w:rPr>
          <w:rFonts w:ascii="Arial" w:hAnsi="Arial" w:cs="Arial"/>
          <w:sz w:val="20"/>
          <w:szCs w:val="20"/>
        </w:rPr>
        <w:tab/>
      </w:r>
      <w:r w:rsidRPr="00675AC0">
        <w:rPr>
          <w:rFonts w:ascii="Arial" w:hAnsi="Arial" w:cs="Arial"/>
          <w:sz w:val="20"/>
          <w:szCs w:val="20"/>
        </w:rPr>
        <w:tab/>
        <w:t>W związku z powyższym, Oferent składa w ofercie oświadczenie o braku powiązań osobowych lub kapitałowych z Zamawiającym.</w:t>
      </w:r>
    </w:p>
    <w:p w:rsidR="00D54588" w:rsidRDefault="00D54588" w:rsidP="006E56B4">
      <w:pPr>
        <w:autoSpaceDE w:val="0"/>
        <w:autoSpaceDN w:val="0"/>
        <w:adjustRightInd w:val="0"/>
        <w:ind w:left="284"/>
        <w:rPr>
          <w:rFonts w:ascii="Arial" w:hAnsi="Arial" w:cs="Arial"/>
          <w:sz w:val="20"/>
          <w:szCs w:val="20"/>
        </w:rPr>
      </w:pPr>
    </w:p>
    <w:p w:rsidR="00D54588" w:rsidRDefault="00D54588" w:rsidP="005E5A54">
      <w:pPr>
        <w:numPr>
          <w:ilvl w:val="0"/>
          <w:numId w:val="8"/>
        </w:numPr>
        <w:autoSpaceDE w:val="0"/>
        <w:autoSpaceDN w:val="0"/>
        <w:adjustRightInd w:val="0"/>
        <w:rPr>
          <w:rFonts w:ascii="Arial" w:hAnsi="Arial" w:cs="Arial"/>
          <w:sz w:val="20"/>
          <w:szCs w:val="20"/>
        </w:rPr>
      </w:pPr>
      <w:r>
        <w:rPr>
          <w:rFonts w:ascii="Arial" w:hAnsi="Arial" w:cs="Arial"/>
          <w:sz w:val="20"/>
          <w:szCs w:val="20"/>
        </w:rPr>
        <w:t xml:space="preserve"> Wymagana akredytacja</w:t>
      </w:r>
    </w:p>
    <w:p w:rsidR="00D54588" w:rsidRPr="00675AC0" w:rsidRDefault="00D54588" w:rsidP="006E56B4">
      <w:pPr>
        <w:autoSpaceDE w:val="0"/>
        <w:autoSpaceDN w:val="0"/>
        <w:adjustRightInd w:val="0"/>
        <w:ind w:left="284"/>
        <w:rPr>
          <w:rFonts w:ascii="Arial" w:hAnsi="Arial" w:cs="Arial"/>
          <w:sz w:val="20"/>
          <w:szCs w:val="20"/>
        </w:rPr>
      </w:pPr>
    </w:p>
    <w:p w:rsidR="00D54588" w:rsidRPr="00675AC0" w:rsidRDefault="00D54588" w:rsidP="006E56B4">
      <w:pPr>
        <w:numPr>
          <w:ilvl w:val="0"/>
          <w:numId w:val="8"/>
        </w:numPr>
        <w:spacing w:before="120" w:after="60"/>
        <w:ind w:left="448" w:hanging="164"/>
        <w:jc w:val="both"/>
        <w:rPr>
          <w:rFonts w:ascii="Arial" w:hAnsi="Arial" w:cs="Arial"/>
          <w:b/>
          <w:sz w:val="20"/>
          <w:szCs w:val="20"/>
        </w:rPr>
      </w:pPr>
      <w:r w:rsidRPr="00675AC0">
        <w:rPr>
          <w:rFonts w:ascii="Arial" w:hAnsi="Arial" w:cs="Arial"/>
          <w:color w:val="000000"/>
          <w:sz w:val="20"/>
          <w:szCs w:val="20"/>
        </w:rPr>
        <w:t xml:space="preserve">Zapytanie ofertowe </w:t>
      </w:r>
      <w:r w:rsidRPr="00675AC0">
        <w:rPr>
          <w:rFonts w:ascii="Arial" w:hAnsi="Arial" w:cs="Arial"/>
          <w:sz w:val="20"/>
          <w:szCs w:val="20"/>
        </w:rPr>
        <w:t>wraz załącznikami</w:t>
      </w:r>
      <w:r w:rsidRPr="00675AC0">
        <w:rPr>
          <w:rFonts w:ascii="Arial" w:hAnsi="Arial" w:cs="Arial"/>
          <w:b/>
          <w:color w:val="0000FF"/>
          <w:sz w:val="20"/>
          <w:szCs w:val="20"/>
        </w:rPr>
        <w:t xml:space="preserve"> </w:t>
      </w:r>
      <w:r w:rsidRPr="00675AC0">
        <w:rPr>
          <w:rFonts w:ascii="Arial" w:hAnsi="Arial" w:cs="Arial"/>
          <w:color w:val="000000"/>
          <w:sz w:val="20"/>
          <w:szCs w:val="20"/>
        </w:rPr>
        <w:t>zamieszczono na stronie:</w:t>
      </w:r>
    </w:p>
    <w:p w:rsidR="00D54588" w:rsidRPr="00675AC0" w:rsidRDefault="00D54588" w:rsidP="006E56B4">
      <w:pPr>
        <w:ind w:left="284"/>
        <w:jc w:val="both"/>
        <w:rPr>
          <w:rFonts w:ascii="Arial" w:hAnsi="Arial" w:cs="Arial"/>
          <w:b/>
          <w:sz w:val="20"/>
          <w:szCs w:val="20"/>
        </w:rPr>
      </w:pPr>
      <w:r w:rsidRPr="00675AC0">
        <w:rPr>
          <w:rFonts w:ascii="Arial" w:hAnsi="Arial" w:cs="Arial"/>
          <w:color w:val="000000"/>
          <w:sz w:val="20"/>
          <w:szCs w:val="20"/>
        </w:rPr>
        <w:t xml:space="preserve"> </w:t>
      </w:r>
      <w:r w:rsidRPr="00675AC0">
        <w:rPr>
          <w:rFonts w:ascii="Arial" w:hAnsi="Arial" w:cs="Arial"/>
          <w:color w:val="000000"/>
          <w:sz w:val="20"/>
          <w:szCs w:val="20"/>
        </w:rPr>
        <w:tab/>
      </w:r>
      <w:hyperlink r:id="rId11" w:history="1">
        <w:r w:rsidRPr="00675AC0">
          <w:rPr>
            <w:rStyle w:val="Hyperlink"/>
            <w:rFonts w:ascii="Arial" w:hAnsi="Arial" w:cs="Arial"/>
            <w:sz w:val="20"/>
            <w:szCs w:val="20"/>
          </w:rPr>
          <w:t>https://itr.lukasiewicz.gov.pl/zapytania-ofertowe</w:t>
        </w:r>
      </w:hyperlink>
      <w:r w:rsidRPr="00675AC0">
        <w:rPr>
          <w:rFonts w:ascii="Arial" w:hAnsi="Arial" w:cs="Arial"/>
          <w:color w:val="000000"/>
          <w:sz w:val="20"/>
          <w:szCs w:val="20"/>
        </w:rPr>
        <w:t xml:space="preserve"> </w:t>
      </w:r>
    </w:p>
    <w:p w:rsidR="00D54588" w:rsidRPr="00675AC0" w:rsidRDefault="00D54588" w:rsidP="006E56B4">
      <w:pPr>
        <w:numPr>
          <w:ilvl w:val="0"/>
          <w:numId w:val="8"/>
        </w:numPr>
        <w:spacing w:before="120" w:line="360" w:lineRule="auto"/>
        <w:jc w:val="both"/>
        <w:rPr>
          <w:rFonts w:ascii="Arial" w:hAnsi="Arial" w:cs="Arial"/>
          <w:b/>
          <w:sz w:val="20"/>
          <w:szCs w:val="20"/>
        </w:rPr>
      </w:pPr>
      <w:r w:rsidRPr="00675AC0">
        <w:rPr>
          <w:rFonts w:ascii="Arial" w:hAnsi="Arial" w:cs="Arial"/>
          <w:b/>
          <w:sz w:val="20"/>
          <w:szCs w:val="20"/>
          <w:u w:val="single"/>
        </w:rPr>
        <w:t xml:space="preserve"> Do niniejszego zapytania ofertowego nie stosuje się przepisów ustawy</w:t>
      </w:r>
      <w:r w:rsidRPr="00675AC0">
        <w:rPr>
          <w:rFonts w:ascii="Arial" w:hAnsi="Arial" w:cs="Arial"/>
          <w:b/>
          <w:i/>
          <w:sz w:val="20"/>
          <w:szCs w:val="20"/>
        </w:rPr>
        <w:t xml:space="preserve"> – </w:t>
      </w:r>
      <w:r w:rsidRPr="00675AC0">
        <w:rPr>
          <w:rFonts w:ascii="Arial" w:hAnsi="Arial" w:cs="Arial"/>
          <w:sz w:val="20"/>
          <w:szCs w:val="20"/>
        </w:rPr>
        <w:t xml:space="preserve">z dnia 29 stycznia 2004 r. Prawo Zamówień Publicznych (Dz. U. z 2015r. poz. 2164 z późn. zm.). </w:t>
      </w:r>
    </w:p>
    <w:p w:rsidR="00D54588" w:rsidRPr="00675AC0" w:rsidRDefault="00D54588" w:rsidP="006E56B4">
      <w:pPr>
        <w:spacing w:after="120"/>
        <w:ind w:left="720"/>
        <w:jc w:val="both"/>
        <w:rPr>
          <w:rFonts w:ascii="Arial" w:hAnsi="Arial" w:cs="Arial"/>
          <w:b/>
          <w:sz w:val="20"/>
          <w:szCs w:val="20"/>
        </w:rPr>
      </w:pPr>
      <w:r w:rsidRPr="00675AC0">
        <w:rPr>
          <w:rFonts w:ascii="Arial" w:hAnsi="Arial" w:cs="Arial"/>
          <w:b/>
          <w:bCs/>
          <w:sz w:val="20"/>
          <w:szCs w:val="20"/>
        </w:rPr>
        <w:t xml:space="preserve">Projekt współfinansowany przez Unię Europejską ze środków Europejskiego Funduszu Rozwoju Regionalnego w ramach Programu Operacyjnego Inteligentny Rozwój 2014-2020 </w:t>
      </w:r>
      <w:r w:rsidRPr="00675AC0">
        <w:rPr>
          <w:rFonts w:ascii="Arial" w:hAnsi="Arial" w:cs="Arial"/>
          <w:b/>
          <w:sz w:val="20"/>
          <w:szCs w:val="20"/>
        </w:rPr>
        <w:t xml:space="preserve">. </w:t>
      </w:r>
    </w:p>
    <w:p w:rsidR="00D54588" w:rsidRPr="00675AC0" w:rsidRDefault="00D54588" w:rsidP="006E56B4">
      <w:pPr>
        <w:spacing w:after="120"/>
        <w:ind w:left="720"/>
        <w:jc w:val="both"/>
        <w:rPr>
          <w:rFonts w:ascii="Arial" w:hAnsi="Arial" w:cs="Arial"/>
          <w:b/>
          <w:bCs/>
          <w:sz w:val="20"/>
          <w:szCs w:val="20"/>
        </w:rPr>
      </w:pPr>
      <w:r w:rsidRPr="00675AC0">
        <w:rPr>
          <w:rFonts w:ascii="Arial" w:hAnsi="Arial" w:cs="Arial"/>
          <w:b/>
          <w:sz w:val="20"/>
          <w:szCs w:val="20"/>
        </w:rPr>
        <w:t xml:space="preserve">Nr projektu:  </w:t>
      </w:r>
      <w:r w:rsidRPr="00675AC0">
        <w:rPr>
          <w:rFonts w:ascii="Arial" w:hAnsi="Arial" w:cs="Arial"/>
          <w:sz w:val="20"/>
          <w:szCs w:val="20"/>
        </w:rPr>
        <w:t>POIR.01.01.01-00-0221/20</w:t>
      </w:r>
    </w:p>
    <w:p w:rsidR="00D54588" w:rsidRPr="00675AC0" w:rsidRDefault="00D54588" w:rsidP="006E56B4">
      <w:pPr>
        <w:numPr>
          <w:ilvl w:val="0"/>
          <w:numId w:val="8"/>
        </w:numPr>
        <w:tabs>
          <w:tab w:val="clear" w:pos="450"/>
          <w:tab w:val="num" w:pos="567"/>
        </w:tabs>
        <w:spacing w:line="360" w:lineRule="auto"/>
        <w:jc w:val="both"/>
        <w:rPr>
          <w:rFonts w:ascii="Arial" w:hAnsi="Arial" w:cs="Arial"/>
          <w:color w:val="000000"/>
          <w:sz w:val="20"/>
          <w:szCs w:val="20"/>
        </w:rPr>
      </w:pPr>
      <w:r w:rsidRPr="00675AC0">
        <w:rPr>
          <w:rFonts w:ascii="Arial" w:hAnsi="Arial" w:cs="Arial"/>
          <w:b/>
          <w:color w:val="000000"/>
          <w:sz w:val="20"/>
          <w:szCs w:val="20"/>
        </w:rPr>
        <w:t>Opis sposobu przygotowania oferty</w:t>
      </w:r>
    </w:p>
    <w:p w:rsidR="00D54588" w:rsidRPr="00675AC0" w:rsidRDefault="00D54588" w:rsidP="006E56B4">
      <w:pPr>
        <w:spacing w:line="360" w:lineRule="auto"/>
        <w:ind w:left="288"/>
        <w:jc w:val="both"/>
        <w:outlineLvl w:val="0"/>
        <w:rPr>
          <w:rFonts w:ascii="Arial" w:hAnsi="Arial" w:cs="Arial"/>
          <w:color w:val="000000"/>
          <w:sz w:val="20"/>
          <w:szCs w:val="20"/>
          <w:u w:val="single"/>
        </w:rPr>
      </w:pPr>
      <w:r w:rsidRPr="00675AC0">
        <w:rPr>
          <w:rFonts w:ascii="Arial" w:hAnsi="Arial" w:cs="Arial"/>
          <w:color w:val="000000"/>
          <w:sz w:val="20"/>
          <w:szCs w:val="20"/>
          <w:u w:val="single"/>
        </w:rPr>
        <w:t>Oferta powinna zawierać co najmniej:</w:t>
      </w:r>
    </w:p>
    <w:p w:rsidR="00D54588" w:rsidRPr="00675AC0" w:rsidRDefault="00D54588" w:rsidP="006E56B4">
      <w:pPr>
        <w:ind w:left="567"/>
        <w:jc w:val="both"/>
        <w:rPr>
          <w:rFonts w:ascii="Arial" w:hAnsi="Arial" w:cs="Arial"/>
          <w:color w:val="000000"/>
          <w:sz w:val="20"/>
          <w:szCs w:val="20"/>
        </w:rPr>
      </w:pPr>
      <w:r w:rsidRPr="00675AC0">
        <w:rPr>
          <w:rFonts w:ascii="Arial" w:hAnsi="Arial" w:cs="Arial"/>
          <w:color w:val="000000"/>
          <w:sz w:val="20"/>
          <w:szCs w:val="20"/>
        </w:rPr>
        <w:t>- nazwę i adres oferenta, NIP,</w:t>
      </w:r>
    </w:p>
    <w:p w:rsidR="00D54588" w:rsidRPr="00675AC0" w:rsidRDefault="00D54588" w:rsidP="006E56B4">
      <w:pPr>
        <w:ind w:left="567"/>
        <w:jc w:val="both"/>
        <w:rPr>
          <w:rFonts w:ascii="Arial" w:hAnsi="Arial" w:cs="Arial"/>
          <w:color w:val="000000"/>
          <w:sz w:val="20"/>
          <w:szCs w:val="20"/>
        </w:rPr>
      </w:pPr>
      <w:r w:rsidRPr="00675AC0">
        <w:rPr>
          <w:rFonts w:ascii="Arial" w:hAnsi="Arial" w:cs="Arial"/>
          <w:color w:val="000000"/>
          <w:sz w:val="20"/>
          <w:szCs w:val="20"/>
        </w:rPr>
        <w:t>- wartość oferty (netto oraz brutto),</w:t>
      </w:r>
    </w:p>
    <w:p w:rsidR="00D54588" w:rsidRPr="00675AC0" w:rsidRDefault="00D54588" w:rsidP="006E56B4">
      <w:pPr>
        <w:ind w:left="567"/>
        <w:jc w:val="both"/>
        <w:rPr>
          <w:rFonts w:ascii="Arial" w:hAnsi="Arial" w:cs="Arial"/>
          <w:sz w:val="20"/>
          <w:szCs w:val="20"/>
        </w:rPr>
      </w:pPr>
      <w:r w:rsidRPr="00675AC0">
        <w:rPr>
          <w:rFonts w:ascii="Arial" w:hAnsi="Arial" w:cs="Arial"/>
          <w:sz w:val="20"/>
          <w:szCs w:val="20"/>
        </w:rPr>
        <w:t>- oferowany maksymalny termin realizacji zamówienia (umowy),</w:t>
      </w:r>
    </w:p>
    <w:p w:rsidR="00D54588" w:rsidRDefault="00D54588" w:rsidP="006E56B4">
      <w:pPr>
        <w:ind w:left="567"/>
        <w:jc w:val="both"/>
        <w:rPr>
          <w:rFonts w:ascii="Arial" w:hAnsi="Arial" w:cs="Arial"/>
          <w:sz w:val="20"/>
          <w:szCs w:val="20"/>
        </w:rPr>
      </w:pPr>
      <w:r w:rsidRPr="00675AC0">
        <w:rPr>
          <w:rFonts w:ascii="Arial" w:hAnsi="Arial" w:cs="Arial"/>
          <w:sz w:val="20"/>
          <w:szCs w:val="20"/>
        </w:rPr>
        <w:t>- oświadczenie o braku powiązań osobowych lub kapitałowych z Zamawiającym,</w:t>
      </w:r>
    </w:p>
    <w:p w:rsidR="00D54588" w:rsidRPr="00675AC0" w:rsidRDefault="00D54588" w:rsidP="006E56B4">
      <w:pPr>
        <w:ind w:left="567"/>
        <w:jc w:val="both"/>
        <w:rPr>
          <w:rFonts w:ascii="Arial" w:hAnsi="Arial" w:cs="Arial"/>
          <w:sz w:val="20"/>
          <w:szCs w:val="20"/>
        </w:rPr>
      </w:pPr>
      <w:r>
        <w:rPr>
          <w:rFonts w:ascii="Arial" w:hAnsi="Arial" w:cs="Arial"/>
          <w:sz w:val="20"/>
          <w:szCs w:val="20"/>
        </w:rPr>
        <w:t>- n</w:t>
      </w:r>
      <w:r w:rsidRPr="003B6CE9">
        <w:rPr>
          <w:rFonts w:ascii="Arial" w:hAnsi="Arial" w:cs="Arial"/>
          <w:sz w:val="20"/>
          <w:szCs w:val="20"/>
        </w:rPr>
        <w:t>umer akredytacji</w:t>
      </w:r>
    </w:p>
    <w:p w:rsidR="00D54588" w:rsidRPr="00675AC0" w:rsidRDefault="00D54588" w:rsidP="006E56B4">
      <w:pPr>
        <w:ind w:left="567"/>
        <w:jc w:val="both"/>
        <w:rPr>
          <w:rFonts w:ascii="Arial" w:hAnsi="Arial" w:cs="Arial"/>
          <w:color w:val="000000"/>
          <w:sz w:val="20"/>
          <w:szCs w:val="20"/>
        </w:rPr>
      </w:pPr>
    </w:p>
    <w:p w:rsidR="00D54588" w:rsidRPr="00675AC0" w:rsidRDefault="00D54588" w:rsidP="006E56B4">
      <w:pPr>
        <w:numPr>
          <w:ilvl w:val="0"/>
          <w:numId w:val="8"/>
        </w:numPr>
        <w:tabs>
          <w:tab w:val="clear" w:pos="450"/>
          <w:tab w:val="num" w:pos="567"/>
        </w:tabs>
        <w:spacing w:before="120" w:line="360" w:lineRule="auto"/>
        <w:ind w:left="448" w:hanging="164"/>
        <w:jc w:val="both"/>
        <w:rPr>
          <w:rFonts w:ascii="Arial" w:hAnsi="Arial" w:cs="Arial"/>
          <w:b/>
          <w:color w:val="000000"/>
          <w:sz w:val="20"/>
          <w:szCs w:val="20"/>
        </w:rPr>
      </w:pPr>
      <w:r w:rsidRPr="00675AC0">
        <w:rPr>
          <w:rFonts w:ascii="Arial" w:hAnsi="Arial" w:cs="Arial"/>
          <w:b/>
          <w:color w:val="000000"/>
          <w:sz w:val="20"/>
          <w:szCs w:val="20"/>
        </w:rPr>
        <w:t>Dodatkowych informacji udzielają:</w:t>
      </w:r>
    </w:p>
    <w:p w:rsidR="00D54588" w:rsidRPr="00675AC0" w:rsidRDefault="00D54588" w:rsidP="00675AC0">
      <w:pPr>
        <w:spacing w:line="360" w:lineRule="auto"/>
        <w:ind w:left="284"/>
        <w:rPr>
          <w:rFonts w:ascii="Arial" w:hAnsi="Arial" w:cs="Arial"/>
          <w:sz w:val="20"/>
          <w:szCs w:val="20"/>
        </w:rPr>
      </w:pPr>
      <w:r w:rsidRPr="00675AC0">
        <w:rPr>
          <w:rFonts w:ascii="Arial" w:hAnsi="Arial" w:cs="Arial"/>
          <w:b/>
          <w:color w:val="000000"/>
          <w:sz w:val="20"/>
          <w:szCs w:val="20"/>
        </w:rPr>
        <w:t xml:space="preserve"> </w:t>
      </w:r>
      <w:r w:rsidRPr="00675AC0">
        <w:rPr>
          <w:rFonts w:ascii="Arial" w:hAnsi="Arial" w:cs="Arial"/>
          <w:color w:val="000000"/>
          <w:sz w:val="20"/>
          <w:szCs w:val="20"/>
        </w:rPr>
        <w:t>Michał Kalicki, tel</w:t>
      </w:r>
      <w:r>
        <w:rPr>
          <w:rFonts w:ascii="Arial" w:hAnsi="Arial" w:cs="Arial"/>
          <w:color w:val="000000"/>
          <w:sz w:val="20"/>
          <w:szCs w:val="20"/>
        </w:rPr>
        <w:t xml:space="preserve">. </w:t>
      </w:r>
      <w:r w:rsidRPr="00675AC0">
        <w:rPr>
          <w:rFonts w:ascii="Arial" w:hAnsi="Arial" w:cs="Arial"/>
          <w:color w:val="000000"/>
          <w:sz w:val="20"/>
          <w:szCs w:val="20"/>
        </w:rPr>
        <w:t xml:space="preserve">22 619-25-12 </w:t>
      </w:r>
      <w:hyperlink r:id="rId12" w:history="1">
        <w:r w:rsidRPr="00675AC0">
          <w:rPr>
            <w:rStyle w:val="Hyperlink"/>
            <w:rFonts w:ascii="Arial" w:hAnsi="Arial" w:cs="Arial"/>
            <w:sz w:val="20"/>
            <w:szCs w:val="20"/>
          </w:rPr>
          <w:t>michal.kalicki@itr.lukasiewicz.gov.pl</w:t>
        </w:r>
      </w:hyperlink>
      <w:r w:rsidRPr="00675AC0">
        <w:rPr>
          <w:rFonts w:ascii="Arial" w:hAnsi="Arial" w:cs="Arial"/>
          <w:color w:val="000000"/>
          <w:sz w:val="20"/>
          <w:szCs w:val="20"/>
        </w:rPr>
        <w:t xml:space="preserve"> </w:t>
      </w:r>
      <w:r w:rsidRPr="00675AC0">
        <w:rPr>
          <w:rFonts w:ascii="Arial" w:hAnsi="Arial" w:cs="Arial"/>
          <w:sz w:val="20"/>
          <w:szCs w:val="20"/>
        </w:rPr>
        <w:t>- w sprawach organizacyjnych</w:t>
      </w:r>
    </w:p>
    <w:p w:rsidR="00D54588" w:rsidRPr="00675AC0" w:rsidRDefault="00D54588" w:rsidP="00675AC0">
      <w:pPr>
        <w:spacing w:line="360" w:lineRule="auto"/>
        <w:ind w:left="284"/>
        <w:rPr>
          <w:rFonts w:ascii="Arial" w:hAnsi="Arial" w:cs="Arial"/>
          <w:sz w:val="20"/>
          <w:szCs w:val="20"/>
        </w:rPr>
      </w:pPr>
      <w:r w:rsidRPr="00675AC0">
        <w:rPr>
          <w:rFonts w:ascii="Arial" w:hAnsi="Arial" w:cs="Arial"/>
          <w:sz w:val="20"/>
          <w:szCs w:val="20"/>
        </w:rPr>
        <w:t xml:space="preserve"> Dariusz Kapelski  tel</w:t>
      </w:r>
      <w:r>
        <w:rPr>
          <w:rFonts w:ascii="Arial" w:hAnsi="Arial" w:cs="Arial"/>
          <w:sz w:val="20"/>
          <w:szCs w:val="20"/>
        </w:rPr>
        <w:t>.</w:t>
      </w:r>
      <w:r w:rsidRPr="00675AC0">
        <w:rPr>
          <w:rFonts w:ascii="Arial" w:hAnsi="Arial" w:cs="Arial"/>
          <w:sz w:val="20"/>
          <w:szCs w:val="20"/>
        </w:rPr>
        <w:t xml:space="preserve">: 22 590-74-11 </w:t>
      </w:r>
      <w:hyperlink r:id="rId13" w:history="1">
        <w:r w:rsidRPr="00675AC0">
          <w:rPr>
            <w:rStyle w:val="Hyperlink"/>
            <w:rFonts w:ascii="Arial" w:hAnsi="Arial" w:cs="Arial"/>
            <w:sz w:val="20"/>
            <w:szCs w:val="20"/>
          </w:rPr>
          <w:t>dariusz.kapelski@itr.lukasiewicz.gov.pl</w:t>
        </w:r>
      </w:hyperlink>
      <w:r w:rsidRPr="00675AC0">
        <w:rPr>
          <w:rFonts w:ascii="Arial" w:hAnsi="Arial" w:cs="Arial"/>
          <w:sz w:val="20"/>
          <w:szCs w:val="20"/>
        </w:rPr>
        <w:t xml:space="preserve"> – w sprawach technicznych</w:t>
      </w:r>
    </w:p>
    <w:p w:rsidR="00D54588" w:rsidRPr="00675AC0" w:rsidRDefault="00D54588" w:rsidP="006501B2">
      <w:pPr>
        <w:pStyle w:val="Bezodstpw1"/>
      </w:pPr>
      <w:r>
        <w:t xml:space="preserve"> </w:t>
      </w:r>
      <w:r w:rsidRPr="00675AC0">
        <w:t xml:space="preserve">Jerzy Chudorliński tel. 22 590-73-78. </w:t>
      </w:r>
      <w:hyperlink r:id="rId14" w:history="1">
        <w:r w:rsidRPr="00675AC0">
          <w:rPr>
            <w:rStyle w:val="Hyperlink"/>
            <w:rFonts w:cs="Arial"/>
          </w:rPr>
          <w:t>jerzy.chudorlinski@itr.lukasiewicz.gov.pl</w:t>
        </w:r>
      </w:hyperlink>
      <w:r w:rsidRPr="00675AC0">
        <w:t xml:space="preserve"> – w sprawach technicznych</w:t>
      </w:r>
    </w:p>
    <w:p w:rsidR="00D54588" w:rsidRPr="00675AC0" w:rsidRDefault="00D54588" w:rsidP="00675AC0">
      <w:pPr>
        <w:spacing w:line="360" w:lineRule="auto"/>
        <w:ind w:firstLine="284"/>
        <w:rPr>
          <w:rFonts w:ascii="Arial" w:hAnsi="Arial" w:cs="Arial"/>
          <w:sz w:val="20"/>
          <w:szCs w:val="20"/>
        </w:rPr>
      </w:pPr>
      <w:r>
        <w:rPr>
          <w:rFonts w:ascii="Arial" w:hAnsi="Arial" w:cs="Arial"/>
          <w:sz w:val="20"/>
          <w:szCs w:val="20"/>
        </w:rPr>
        <w:t xml:space="preserve"> </w:t>
      </w:r>
      <w:r w:rsidRPr="00675AC0">
        <w:rPr>
          <w:rFonts w:ascii="Arial" w:hAnsi="Arial" w:cs="Arial"/>
          <w:sz w:val="20"/>
          <w:szCs w:val="20"/>
        </w:rPr>
        <w:t xml:space="preserve">Paweł Michalski tel. 22 590-73-85 </w:t>
      </w:r>
      <w:hyperlink r:id="rId15" w:history="1">
        <w:r w:rsidRPr="00675AC0">
          <w:rPr>
            <w:rStyle w:val="Hyperlink"/>
            <w:rFonts w:ascii="Arial" w:hAnsi="Arial" w:cs="Arial"/>
            <w:sz w:val="20"/>
            <w:szCs w:val="20"/>
          </w:rPr>
          <w:t>pawel.michalski@itr.lukasiewicz.gov.pl</w:t>
        </w:r>
      </w:hyperlink>
      <w:r>
        <w:rPr>
          <w:rFonts w:ascii="Arial" w:hAnsi="Arial" w:cs="Arial"/>
          <w:sz w:val="20"/>
          <w:szCs w:val="20"/>
        </w:rPr>
        <w:t xml:space="preserve">  </w:t>
      </w:r>
      <w:r w:rsidRPr="00675AC0">
        <w:rPr>
          <w:rFonts w:ascii="Arial" w:hAnsi="Arial" w:cs="Arial"/>
          <w:sz w:val="20"/>
          <w:szCs w:val="20"/>
        </w:rPr>
        <w:t>– w sprawach technicznych</w:t>
      </w:r>
    </w:p>
    <w:p w:rsidR="00D54588" w:rsidRPr="00675AC0" w:rsidRDefault="00D54588" w:rsidP="00525DDD">
      <w:pPr>
        <w:tabs>
          <w:tab w:val="left" w:pos="6096"/>
        </w:tabs>
        <w:jc w:val="right"/>
        <w:rPr>
          <w:rStyle w:val="SubtleEmphasis"/>
          <w:rFonts w:ascii="Arial" w:hAnsi="Arial" w:cs="Arial"/>
          <w:iCs/>
          <w:color w:val="auto"/>
          <w:sz w:val="20"/>
          <w:szCs w:val="20"/>
        </w:rPr>
      </w:pPr>
    </w:p>
    <w:sectPr w:rsidR="00D54588" w:rsidRPr="00675AC0" w:rsidSect="00B23A24">
      <w:head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588" w:rsidRDefault="00D54588" w:rsidP="002F0A92">
      <w:r>
        <w:separator/>
      </w:r>
    </w:p>
  </w:endnote>
  <w:endnote w:type="continuationSeparator" w:id="0">
    <w:p w:rsidR="00D54588" w:rsidRDefault="00D54588" w:rsidP="002F0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588" w:rsidRDefault="00D54588" w:rsidP="002F0A92">
      <w:r>
        <w:separator/>
      </w:r>
    </w:p>
  </w:footnote>
  <w:footnote w:type="continuationSeparator" w:id="0">
    <w:p w:rsidR="00D54588" w:rsidRDefault="00D54588" w:rsidP="002F0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88" w:rsidRPr="00217624" w:rsidRDefault="00D54588" w:rsidP="00217624">
    <w:pPr>
      <w:pStyle w:val="Header"/>
      <w:jc w:val="center"/>
      <w:rPr>
        <w:rFonts w:ascii="Calibri" w:hAnsi="Calibri"/>
      </w:rPr>
    </w:pPr>
    <w:r w:rsidRPr="00782F18">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alt="cid:image008.png@01D398F3.BB1CAD50" style="width:453.75pt;height:26.25pt;visibility:visible">
          <v:imagedata r:id="rId1" o:title=""/>
        </v:shape>
      </w:pict>
    </w:r>
  </w:p>
  <w:p w:rsidR="00D54588" w:rsidRDefault="00D54588">
    <w:pPr>
      <w:pStyle w:val="Header"/>
    </w:pPr>
  </w:p>
  <w:p w:rsidR="00D54588" w:rsidRDefault="00D545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C4C28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9AEFF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62A8A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9DA7D5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D883F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0A1C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F2EFB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BAA0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5244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464E22E"/>
    <w:lvl w:ilvl="0">
      <w:start w:val="1"/>
      <w:numFmt w:val="bullet"/>
      <w:lvlText w:val=""/>
      <w:lvlJc w:val="left"/>
      <w:pPr>
        <w:tabs>
          <w:tab w:val="num" w:pos="360"/>
        </w:tabs>
        <w:ind w:left="360" w:hanging="360"/>
      </w:pPr>
      <w:rPr>
        <w:rFonts w:ascii="Symbol" w:hAnsi="Symbol" w:hint="default"/>
      </w:rPr>
    </w:lvl>
  </w:abstractNum>
  <w:abstractNum w:abstractNumId="10">
    <w:nsid w:val="00265EAE"/>
    <w:multiLevelType w:val="hybridMultilevel"/>
    <w:tmpl w:val="BE681A6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12F453BC"/>
    <w:multiLevelType w:val="hybridMultilevel"/>
    <w:tmpl w:val="225C962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13776F6F"/>
    <w:multiLevelType w:val="multilevel"/>
    <w:tmpl w:val="87BA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7BB271A"/>
    <w:multiLevelType w:val="hybridMultilevel"/>
    <w:tmpl w:val="34AE672E"/>
    <w:lvl w:ilvl="0" w:tplc="0570D2E4">
      <w:start w:val="1"/>
      <w:numFmt w:val="decimal"/>
      <w:lvlText w:val="%1."/>
      <w:lvlJc w:val="left"/>
      <w:pPr>
        <w:tabs>
          <w:tab w:val="num" w:pos="1154"/>
        </w:tabs>
        <w:ind w:left="1154" w:hanging="360"/>
      </w:pPr>
      <w:rPr>
        <w:rFonts w:cs="Times New Roman" w:hint="default"/>
        <w:sz w:val="20"/>
        <w:szCs w:val="20"/>
      </w:rPr>
    </w:lvl>
    <w:lvl w:ilvl="1" w:tplc="04150003" w:tentative="1">
      <w:start w:val="1"/>
      <w:numFmt w:val="bullet"/>
      <w:lvlText w:val="o"/>
      <w:lvlJc w:val="left"/>
      <w:pPr>
        <w:tabs>
          <w:tab w:val="num" w:pos="1877"/>
        </w:tabs>
        <w:ind w:left="1877" w:hanging="360"/>
      </w:pPr>
      <w:rPr>
        <w:rFonts w:ascii="Courier New" w:hAnsi="Courier New" w:hint="default"/>
      </w:rPr>
    </w:lvl>
    <w:lvl w:ilvl="2" w:tplc="04150005" w:tentative="1">
      <w:start w:val="1"/>
      <w:numFmt w:val="bullet"/>
      <w:lvlText w:val=""/>
      <w:lvlJc w:val="left"/>
      <w:pPr>
        <w:tabs>
          <w:tab w:val="num" w:pos="2597"/>
        </w:tabs>
        <w:ind w:left="2597" w:hanging="360"/>
      </w:pPr>
      <w:rPr>
        <w:rFonts w:ascii="Wingdings" w:hAnsi="Wingdings" w:hint="default"/>
      </w:rPr>
    </w:lvl>
    <w:lvl w:ilvl="3" w:tplc="04150001" w:tentative="1">
      <w:start w:val="1"/>
      <w:numFmt w:val="bullet"/>
      <w:lvlText w:val=""/>
      <w:lvlJc w:val="left"/>
      <w:pPr>
        <w:tabs>
          <w:tab w:val="num" w:pos="3317"/>
        </w:tabs>
        <w:ind w:left="3317" w:hanging="360"/>
      </w:pPr>
      <w:rPr>
        <w:rFonts w:ascii="Symbol" w:hAnsi="Symbol" w:hint="default"/>
      </w:rPr>
    </w:lvl>
    <w:lvl w:ilvl="4" w:tplc="04150003" w:tentative="1">
      <w:start w:val="1"/>
      <w:numFmt w:val="bullet"/>
      <w:lvlText w:val="o"/>
      <w:lvlJc w:val="left"/>
      <w:pPr>
        <w:tabs>
          <w:tab w:val="num" w:pos="4037"/>
        </w:tabs>
        <w:ind w:left="4037" w:hanging="360"/>
      </w:pPr>
      <w:rPr>
        <w:rFonts w:ascii="Courier New" w:hAnsi="Courier New" w:hint="default"/>
      </w:rPr>
    </w:lvl>
    <w:lvl w:ilvl="5" w:tplc="04150005" w:tentative="1">
      <w:start w:val="1"/>
      <w:numFmt w:val="bullet"/>
      <w:lvlText w:val=""/>
      <w:lvlJc w:val="left"/>
      <w:pPr>
        <w:tabs>
          <w:tab w:val="num" w:pos="4757"/>
        </w:tabs>
        <w:ind w:left="4757" w:hanging="360"/>
      </w:pPr>
      <w:rPr>
        <w:rFonts w:ascii="Wingdings" w:hAnsi="Wingdings" w:hint="default"/>
      </w:rPr>
    </w:lvl>
    <w:lvl w:ilvl="6" w:tplc="04150001" w:tentative="1">
      <w:start w:val="1"/>
      <w:numFmt w:val="bullet"/>
      <w:lvlText w:val=""/>
      <w:lvlJc w:val="left"/>
      <w:pPr>
        <w:tabs>
          <w:tab w:val="num" w:pos="5477"/>
        </w:tabs>
        <w:ind w:left="5477" w:hanging="360"/>
      </w:pPr>
      <w:rPr>
        <w:rFonts w:ascii="Symbol" w:hAnsi="Symbol" w:hint="default"/>
      </w:rPr>
    </w:lvl>
    <w:lvl w:ilvl="7" w:tplc="04150003" w:tentative="1">
      <w:start w:val="1"/>
      <w:numFmt w:val="bullet"/>
      <w:lvlText w:val="o"/>
      <w:lvlJc w:val="left"/>
      <w:pPr>
        <w:tabs>
          <w:tab w:val="num" w:pos="6197"/>
        </w:tabs>
        <w:ind w:left="6197" w:hanging="360"/>
      </w:pPr>
      <w:rPr>
        <w:rFonts w:ascii="Courier New" w:hAnsi="Courier New" w:hint="default"/>
      </w:rPr>
    </w:lvl>
    <w:lvl w:ilvl="8" w:tplc="04150005" w:tentative="1">
      <w:start w:val="1"/>
      <w:numFmt w:val="bullet"/>
      <w:lvlText w:val=""/>
      <w:lvlJc w:val="left"/>
      <w:pPr>
        <w:tabs>
          <w:tab w:val="num" w:pos="6917"/>
        </w:tabs>
        <w:ind w:left="6917" w:hanging="360"/>
      </w:pPr>
      <w:rPr>
        <w:rFonts w:ascii="Wingdings" w:hAnsi="Wingdings" w:hint="default"/>
      </w:rPr>
    </w:lvl>
  </w:abstractNum>
  <w:abstractNum w:abstractNumId="14">
    <w:nsid w:val="2D9868FA"/>
    <w:multiLevelType w:val="hybridMultilevel"/>
    <w:tmpl w:val="C354F644"/>
    <w:lvl w:ilvl="0" w:tplc="301C267C">
      <w:start w:val="1"/>
      <w:numFmt w:val="upperRoman"/>
      <w:lvlText w:val="%1."/>
      <w:lvlJc w:val="center"/>
      <w:pPr>
        <w:tabs>
          <w:tab w:val="num" w:pos="450"/>
        </w:tabs>
        <w:ind w:left="450" w:hanging="166"/>
      </w:pPr>
      <w:rPr>
        <w:rFonts w:cs="Times New Roman" w:hint="default"/>
        <w:b/>
        <w:color w:val="000000"/>
      </w:rPr>
    </w:lvl>
    <w:lvl w:ilvl="1" w:tplc="77A8C8B2">
      <w:start w:val="4"/>
      <w:numFmt w:val="decimal"/>
      <w:lvlText w:val="%2."/>
      <w:lvlJc w:val="left"/>
      <w:pPr>
        <w:tabs>
          <w:tab w:val="num" w:pos="1470"/>
        </w:tabs>
        <w:ind w:left="1470" w:hanging="390"/>
      </w:pPr>
      <w:rPr>
        <w:rFonts w:cs="Times New Roman" w:hint="default"/>
        <w:b/>
        <w:color w:val="auto"/>
      </w:rPr>
    </w:lvl>
    <w:lvl w:ilvl="2" w:tplc="2D28E468">
      <w:start w:val="7"/>
      <w:numFmt w:val="bullet"/>
      <w:lvlText w:val=""/>
      <w:lvlJc w:val="left"/>
      <w:pPr>
        <w:tabs>
          <w:tab w:val="num" w:pos="2340"/>
        </w:tabs>
        <w:ind w:left="2340" w:hanging="360"/>
      </w:pPr>
      <w:rPr>
        <w:rFonts w:ascii="Symbol" w:eastAsia="Times New Roman" w:hAnsi="Symbol"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EF64198"/>
    <w:multiLevelType w:val="hybridMultilevel"/>
    <w:tmpl w:val="1DD62092"/>
    <w:lvl w:ilvl="0" w:tplc="CCFA21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9BF109C"/>
    <w:multiLevelType w:val="hybridMultilevel"/>
    <w:tmpl w:val="4D7E6556"/>
    <w:lvl w:ilvl="0" w:tplc="9C760254">
      <w:numFmt w:val="bullet"/>
      <w:lvlText w:val="•"/>
      <w:lvlJc w:val="left"/>
      <w:pPr>
        <w:ind w:left="644" w:hanging="360"/>
      </w:pPr>
      <w:rPr>
        <w:rFonts w:ascii="Arial" w:eastAsia="Times New Roman" w:hAnsi="Aria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nsid w:val="459D6205"/>
    <w:multiLevelType w:val="hybridMultilevel"/>
    <w:tmpl w:val="3E1078C2"/>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nsid w:val="48EC4BFC"/>
    <w:multiLevelType w:val="hybridMultilevel"/>
    <w:tmpl w:val="B0D80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73B40C1"/>
    <w:multiLevelType w:val="multilevel"/>
    <w:tmpl w:val="EC2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CB470C"/>
    <w:multiLevelType w:val="hybridMultilevel"/>
    <w:tmpl w:val="F2E610F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5B203065"/>
    <w:multiLevelType w:val="hybridMultilevel"/>
    <w:tmpl w:val="7018BAB4"/>
    <w:lvl w:ilvl="0" w:tplc="3B5CB10C">
      <w:start w:val="1"/>
      <w:numFmt w:val="decimal"/>
      <w:lvlText w:val="%1."/>
      <w:lvlJc w:val="left"/>
      <w:pPr>
        <w:ind w:left="720" w:hanging="360"/>
      </w:pPr>
      <w:rPr>
        <w:rFonts w:cs="Times New Roman"/>
        <w:b w:val="0"/>
      </w:rPr>
    </w:lvl>
    <w:lvl w:ilvl="1" w:tplc="390024C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10"/>
  </w:num>
  <w:num w:numId="3">
    <w:abstractNumId w:val="20"/>
  </w:num>
  <w:num w:numId="4">
    <w:abstractNumId w:val="17"/>
  </w:num>
  <w:num w:numId="5">
    <w:abstractNumId w:val="15"/>
  </w:num>
  <w:num w:numId="6">
    <w:abstractNumId w:val="21"/>
  </w:num>
  <w:num w:numId="7">
    <w:abstractNumId w:val="14"/>
  </w:num>
  <w:num w:numId="8">
    <w:abstractNumId w:val="14"/>
    <w:lvlOverride w:ilvl="0">
      <w:startOverride w:val="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9"/>
  </w:num>
  <w:num w:numId="20">
    <w:abstractNumId w:val="12"/>
  </w:num>
  <w:num w:numId="21">
    <w:abstractNumId w:val="13"/>
  </w:num>
  <w:num w:numId="22">
    <w:abstractNumId w:val="11"/>
  </w:num>
  <w:num w:numId="23">
    <w:abstractNumId w:val="18"/>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A92"/>
    <w:rsid w:val="0002283A"/>
    <w:rsid w:val="000241FF"/>
    <w:rsid w:val="000248A9"/>
    <w:rsid w:val="00033016"/>
    <w:rsid w:val="00033F34"/>
    <w:rsid w:val="0003580D"/>
    <w:rsid w:val="000524C7"/>
    <w:rsid w:val="00062724"/>
    <w:rsid w:val="00077555"/>
    <w:rsid w:val="0008220A"/>
    <w:rsid w:val="00094578"/>
    <w:rsid w:val="000A1687"/>
    <w:rsid w:val="000C6C15"/>
    <w:rsid w:val="000D3BCD"/>
    <w:rsid w:val="000E4676"/>
    <w:rsid w:val="000F5965"/>
    <w:rsid w:val="001060DC"/>
    <w:rsid w:val="00107E73"/>
    <w:rsid w:val="00112CB1"/>
    <w:rsid w:val="001270CB"/>
    <w:rsid w:val="00142825"/>
    <w:rsid w:val="001734FD"/>
    <w:rsid w:val="00174FA6"/>
    <w:rsid w:val="001779A9"/>
    <w:rsid w:val="0019142A"/>
    <w:rsid w:val="001A166E"/>
    <w:rsid w:val="001A3B37"/>
    <w:rsid w:val="001A557E"/>
    <w:rsid w:val="001A7B7F"/>
    <w:rsid w:val="001B1CC8"/>
    <w:rsid w:val="001B4D3F"/>
    <w:rsid w:val="001C3EA1"/>
    <w:rsid w:val="001F1434"/>
    <w:rsid w:val="001F51FB"/>
    <w:rsid w:val="00217624"/>
    <w:rsid w:val="0023102E"/>
    <w:rsid w:val="00234CB8"/>
    <w:rsid w:val="00236E3D"/>
    <w:rsid w:val="00243944"/>
    <w:rsid w:val="00263658"/>
    <w:rsid w:val="00272C27"/>
    <w:rsid w:val="002840A9"/>
    <w:rsid w:val="00291288"/>
    <w:rsid w:val="002A49E4"/>
    <w:rsid w:val="002B109F"/>
    <w:rsid w:val="002B70E2"/>
    <w:rsid w:val="002C064E"/>
    <w:rsid w:val="002F0A92"/>
    <w:rsid w:val="002F7769"/>
    <w:rsid w:val="00315AC6"/>
    <w:rsid w:val="0032404F"/>
    <w:rsid w:val="003249CB"/>
    <w:rsid w:val="00325711"/>
    <w:rsid w:val="00330D1D"/>
    <w:rsid w:val="00341DB8"/>
    <w:rsid w:val="00362923"/>
    <w:rsid w:val="00364367"/>
    <w:rsid w:val="00365961"/>
    <w:rsid w:val="0036677C"/>
    <w:rsid w:val="00372677"/>
    <w:rsid w:val="00384CC9"/>
    <w:rsid w:val="003A473E"/>
    <w:rsid w:val="003B6CE9"/>
    <w:rsid w:val="003C1838"/>
    <w:rsid w:val="003C2386"/>
    <w:rsid w:val="003C5A73"/>
    <w:rsid w:val="003D0828"/>
    <w:rsid w:val="003D1BC4"/>
    <w:rsid w:val="003E13C4"/>
    <w:rsid w:val="003F2E3C"/>
    <w:rsid w:val="0040259B"/>
    <w:rsid w:val="00403B22"/>
    <w:rsid w:val="004048C6"/>
    <w:rsid w:val="004056C4"/>
    <w:rsid w:val="00417837"/>
    <w:rsid w:val="00417CB9"/>
    <w:rsid w:val="004255D6"/>
    <w:rsid w:val="00427F82"/>
    <w:rsid w:val="00430A2E"/>
    <w:rsid w:val="0046108F"/>
    <w:rsid w:val="00472FA0"/>
    <w:rsid w:val="004756F5"/>
    <w:rsid w:val="004879DA"/>
    <w:rsid w:val="004901CE"/>
    <w:rsid w:val="004A01F9"/>
    <w:rsid w:val="004A6A95"/>
    <w:rsid w:val="004B1856"/>
    <w:rsid w:val="004B36C2"/>
    <w:rsid w:val="004D1262"/>
    <w:rsid w:val="004D57B3"/>
    <w:rsid w:val="005201B4"/>
    <w:rsid w:val="005234C1"/>
    <w:rsid w:val="00525DDD"/>
    <w:rsid w:val="00546457"/>
    <w:rsid w:val="0055055B"/>
    <w:rsid w:val="00582F16"/>
    <w:rsid w:val="0058731C"/>
    <w:rsid w:val="00595BC0"/>
    <w:rsid w:val="005A00A7"/>
    <w:rsid w:val="005A33DE"/>
    <w:rsid w:val="005A566B"/>
    <w:rsid w:val="005A75E7"/>
    <w:rsid w:val="005B45EA"/>
    <w:rsid w:val="005C2E8F"/>
    <w:rsid w:val="005C4D91"/>
    <w:rsid w:val="005E3F66"/>
    <w:rsid w:val="005E5A54"/>
    <w:rsid w:val="005F3445"/>
    <w:rsid w:val="005F4D0B"/>
    <w:rsid w:val="006273BC"/>
    <w:rsid w:val="00630076"/>
    <w:rsid w:val="006350DD"/>
    <w:rsid w:val="006425CF"/>
    <w:rsid w:val="00642EBA"/>
    <w:rsid w:val="006476BB"/>
    <w:rsid w:val="006501B2"/>
    <w:rsid w:val="006550B0"/>
    <w:rsid w:val="00657266"/>
    <w:rsid w:val="006639E5"/>
    <w:rsid w:val="0066636A"/>
    <w:rsid w:val="00667A7A"/>
    <w:rsid w:val="006741D3"/>
    <w:rsid w:val="00675AC0"/>
    <w:rsid w:val="00697EFF"/>
    <w:rsid w:val="006A2FB9"/>
    <w:rsid w:val="006A57F0"/>
    <w:rsid w:val="006C56DF"/>
    <w:rsid w:val="006D34D2"/>
    <w:rsid w:val="006D6D17"/>
    <w:rsid w:val="006E56B4"/>
    <w:rsid w:val="006F1EF0"/>
    <w:rsid w:val="0070612B"/>
    <w:rsid w:val="007314D4"/>
    <w:rsid w:val="00740603"/>
    <w:rsid w:val="0074250B"/>
    <w:rsid w:val="0074455E"/>
    <w:rsid w:val="00755336"/>
    <w:rsid w:val="00761E71"/>
    <w:rsid w:val="00767BB9"/>
    <w:rsid w:val="00782F18"/>
    <w:rsid w:val="007903EE"/>
    <w:rsid w:val="0079055F"/>
    <w:rsid w:val="00791F97"/>
    <w:rsid w:val="007950D6"/>
    <w:rsid w:val="007971CC"/>
    <w:rsid w:val="007A7DC9"/>
    <w:rsid w:val="007D5623"/>
    <w:rsid w:val="007D5E23"/>
    <w:rsid w:val="007D788D"/>
    <w:rsid w:val="007E2E31"/>
    <w:rsid w:val="007E4D48"/>
    <w:rsid w:val="007E4D72"/>
    <w:rsid w:val="007E72F7"/>
    <w:rsid w:val="007F10C3"/>
    <w:rsid w:val="007F3FAC"/>
    <w:rsid w:val="007F6EE7"/>
    <w:rsid w:val="007F70C5"/>
    <w:rsid w:val="008020C2"/>
    <w:rsid w:val="00804D52"/>
    <w:rsid w:val="00807519"/>
    <w:rsid w:val="008106E3"/>
    <w:rsid w:val="00812A41"/>
    <w:rsid w:val="00823792"/>
    <w:rsid w:val="00825F50"/>
    <w:rsid w:val="00826D9B"/>
    <w:rsid w:val="008276A4"/>
    <w:rsid w:val="008459B1"/>
    <w:rsid w:val="00846366"/>
    <w:rsid w:val="00851382"/>
    <w:rsid w:val="008570AB"/>
    <w:rsid w:val="00865C5D"/>
    <w:rsid w:val="00867955"/>
    <w:rsid w:val="00870600"/>
    <w:rsid w:val="00876D1A"/>
    <w:rsid w:val="008908DA"/>
    <w:rsid w:val="00892AB2"/>
    <w:rsid w:val="00897D35"/>
    <w:rsid w:val="008A3C4E"/>
    <w:rsid w:val="008A6B0B"/>
    <w:rsid w:val="008B26A2"/>
    <w:rsid w:val="008B3DB0"/>
    <w:rsid w:val="008B412B"/>
    <w:rsid w:val="008C6495"/>
    <w:rsid w:val="008D5FD4"/>
    <w:rsid w:val="008E75D6"/>
    <w:rsid w:val="008F536D"/>
    <w:rsid w:val="0090193C"/>
    <w:rsid w:val="009064A7"/>
    <w:rsid w:val="009114A8"/>
    <w:rsid w:val="00912FAA"/>
    <w:rsid w:val="00925B64"/>
    <w:rsid w:val="00955A44"/>
    <w:rsid w:val="009674A2"/>
    <w:rsid w:val="0098395F"/>
    <w:rsid w:val="009951E8"/>
    <w:rsid w:val="009A7950"/>
    <w:rsid w:val="009D7D9B"/>
    <w:rsid w:val="009E2B64"/>
    <w:rsid w:val="009F0680"/>
    <w:rsid w:val="009F0A97"/>
    <w:rsid w:val="00A1323E"/>
    <w:rsid w:val="00A214D1"/>
    <w:rsid w:val="00A403BD"/>
    <w:rsid w:val="00A50B12"/>
    <w:rsid w:val="00A50E58"/>
    <w:rsid w:val="00A53C4B"/>
    <w:rsid w:val="00A61ED9"/>
    <w:rsid w:val="00A63F24"/>
    <w:rsid w:val="00A6739D"/>
    <w:rsid w:val="00A74608"/>
    <w:rsid w:val="00A761F8"/>
    <w:rsid w:val="00A9297B"/>
    <w:rsid w:val="00AA0698"/>
    <w:rsid w:val="00AA0E4D"/>
    <w:rsid w:val="00AA15C0"/>
    <w:rsid w:val="00AB265C"/>
    <w:rsid w:val="00AB5C14"/>
    <w:rsid w:val="00AB71B1"/>
    <w:rsid w:val="00AD566F"/>
    <w:rsid w:val="00AD7BBD"/>
    <w:rsid w:val="00AF4013"/>
    <w:rsid w:val="00AF6C72"/>
    <w:rsid w:val="00B04165"/>
    <w:rsid w:val="00B13086"/>
    <w:rsid w:val="00B153E4"/>
    <w:rsid w:val="00B21DB6"/>
    <w:rsid w:val="00B23A24"/>
    <w:rsid w:val="00B416A6"/>
    <w:rsid w:val="00B854D7"/>
    <w:rsid w:val="00B974D3"/>
    <w:rsid w:val="00BA1898"/>
    <w:rsid w:val="00BA6630"/>
    <w:rsid w:val="00BB62EC"/>
    <w:rsid w:val="00BC009C"/>
    <w:rsid w:val="00BC3116"/>
    <w:rsid w:val="00BC31C6"/>
    <w:rsid w:val="00BC5CE2"/>
    <w:rsid w:val="00BD0E81"/>
    <w:rsid w:val="00BD7C0E"/>
    <w:rsid w:val="00BE6A52"/>
    <w:rsid w:val="00BF2DB7"/>
    <w:rsid w:val="00C2650C"/>
    <w:rsid w:val="00C27858"/>
    <w:rsid w:val="00C3262E"/>
    <w:rsid w:val="00C37341"/>
    <w:rsid w:val="00C4209B"/>
    <w:rsid w:val="00C555C8"/>
    <w:rsid w:val="00C62509"/>
    <w:rsid w:val="00C76935"/>
    <w:rsid w:val="00C97DC5"/>
    <w:rsid w:val="00CA7A75"/>
    <w:rsid w:val="00CB03EB"/>
    <w:rsid w:val="00CC0597"/>
    <w:rsid w:val="00CC11B7"/>
    <w:rsid w:val="00CD7CD8"/>
    <w:rsid w:val="00CF3BCF"/>
    <w:rsid w:val="00D02817"/>
    <w:rsid w:val="00D07A00"/>
    <w:rsid w:val="00D15520"/>
    <w:rsid w:val="00D1654D"/>
    <w:rsid w:val="00D173A3"/>
    <w:rsid w:val="00D22906"/>
    <w:rsid w:val="00D26B43"/>
    <w:rsid w:val="00D301E7"/>
    <w:rsid w:val="00D3153C"/>
    <w:rsid w:val="00D47E9C"/>
    <w:rsid w:val="00D5240D"/>
    <w:rsid w:val="00D52B80"/>
    <w:rsid w:val="00D54588"/>
    <w:rsid w:val="00D57123"/>
    <w:rsid w:val="00D63BB2"/>
    <w:rsid w:val="00D65EDE"/>
    <w:rsid w:val="00D84501"/>
    <w:rsid w:val="00D84A0D"/>
    <w:rsid w:val="00D9738E"/>
    <w:rsid w:val="00D97A31"/>
    <w:rsid w:val="00DB5860"/>
    <w:rsid w:val="00DB6172"/>
    <w:rsid w:val="00DC6FDB"/>
    <w:rsid w:val="00DD56F6"/>
    <w:rsid w:val="00DE3894"/>
    <w:rsid w:val="00DE7D3D"/>
    <w:rsid w:val="00DF0ECA"/>
    <w:rsid w:val="00DF39E0"/>
    <w:rsid w:val="00E0303C"/>
    <w:rsid w:val="00E10AF4"/>
    <w:rsid w:val="00E126C1"/>
    <w:rsid w:val="00E17835"/>
    <w:rsid w:val="00E36283"/>
    <w:rsid w:val="00E47159"/>
    <w:rsid w:val="00E50295"/>
    <w:rsid w:val="00E71219"/>
    <w:rsid w:val="00E72043"/>
    <w:rsid w:val="00E73BA2"/>
    <w:rsid w:val="00E850CA"/>
    <w:rsid w:val="00E87171"/>
    <w:rsid w:val="00E9088E"/>
    <w:rsid w:val="00E9222E"/>
    <w:rsid w:val="00EB0D18"/>
    <w:rsid w:val="00EB286B"/>
    <w:rsid w:val="00EB2B27"/>
    <w:rsid w:val="00EB3E14"/>
    <w:rsid w:val="00EB56FC"/>
    <w:rsid w:val="00EB6E19"/>
    <w:rsid w:val="00EE35A2"/>
    <w:rsid w:val="00F07E49"/>
    <w:rsid w:val="00F15721"/>
    <w:rsid w:val="00F17A96"/>
    <w:rsid w:val="00F236F7"/>
    <w:rsid w:val="00F27579"/>
    <w:rsid w:val="00F40DC2"/>
    <w:rsid w:val="00F41235"/>
    <w:rsid w:val="00F53AAB"/>
    <w:rsid w:val="00F548E1"/>
    <w:rsid w:val="00F54E6F"/>
    <w:rsid w:val="00F60E23"/>
    <w:rsid w:val="00F757BD"/>
    <w:rsid w:val="00F91A91"/>
    <w:rsid w:val="00FA12BD"/>
    <w:rsid w:val="00FA4C3B"/>
    <w:rsid w:val="00FB0EDD"/>
    <w:rsid w:val="00FB2E51"/>
    <w:rsid w:val="00FB3B41"/>
    <w:rsid w:val="00FC753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92"/>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F0A92"/>
    <w:pPr>
      <w:ind w:left="720"/>
      <w:contextualSpacing/>
    </w:pPr>
  </w:style>
  <w:style w:type="paragraph" w:styleId="FootnoteText">
    <w:name w:val="footnote text"/>
    <w:aliases w:val="Podrozdział,Podrozdział Znak,Podrozdział Znak Znak,Footnote,Podrozdzia3,-E Fuﬂnotentext,Fuﬂnotentext Ursprung,Fußnotentext Ursprung,-E Fußnotentext,Footnote text,Tekst przypisu Znak Znak Znak Znak,Fußnote,fn"/>
    <w:basedOn w:val="Normal"/>
    <w:link w:val="FootnoteTextChar"/>
    <w:uiPriority w:val="99"/>
    <w:rsid w:val="002F0A92"/>
    <w:rPr>
      <w:rFonts w:eastAsia="Calibri"/>
      <w:sz w:val="20"/>
      <w:szCs w:val="20"/>
    </w:rPr>
  </w:style>
  <w:style w:type="character" w:customStyle="1" w:styleId="FootnoteTextChar">
    <w:name w:val="Footnote Text Char"/>
    <w:aliases w:val="Podrozdział Char,Podrozdział Znak Char,Podrozdział Znak Znak Char,Footnote Char,Podrozdzia3 Char,-E Fuﬂnotentext Char,Fuﬂnotentext Ursprung Char,Fußnotentext Ursprung Char,-E Fußnotentext Char,Footnote text Char,Fußnote Char,fn Char"/>
    <w:basedOn w:val="DefaultParagraphFont"/>
    <w:link w:val="FootnoteText"/>
    <w:uiPriority w:val="99"/>
    <w:locked/>
    <w:rsid w:val="002F0A92"/>
    <w:rPr>
      <w:rFonts w:ascii="Times New Roman" w:hAnsi="Times New Roman" w:cs="Times New Roman"/>
      <w:sz w:val="20"/>
      <w:lang w:eastAsia="pl-PL"/>
    </w:rPr>
  </w:style>
  <w:style w:type="character" w:styleId="FootnoteReference">
    <w:name w:val="footnote reference"/>
    <w:aliases w:val="Footnote Reference Number"/>
    <w:basedOn w:val="DefaultParagraphFont"/>
    <w:uiPriority w:val="99"/>
    <w:rsid w:val="002F0A92"/>
    <w:rPr>
      <w:rFonts w:cs="Times New Roman"/>
      <w:vertAlign w:val="superscript"/>
    </w:rPr>
  </w:style>
  <w:style w:type="character" w:styleId="CommentReference">
    <w:name w:val="annotation reference"/>
    <w:basedOn w:val="DefaultParagraphFont"/>
    <w:uiPriority w:val="99"/>
    <w:semiHidden/>
    <w:rsid w:val="002F0A92"/>
    <w:rPr>
      <w:rFonts w:cs="Times New Roman"/>
      <w:sz w:val="16"/>
    </w:rPr>
  </w:style>
  <w:style w:type="paragraph" w:styleId="CommentText">
    <w:name w:val="annotation text"/>
    <w:basedOn w:val="Normal"/>
    <w:link w:val="CommentTextChar"/>
    <w:uiPriority w:val="99"/>
    <w:rsid w:val="002F0A92"/>
    <w:rPr>
      <w:rFonts w:eastAsia="Calibri"/>
      <w:sz w:val="20"/>
      <w:szCs w:val="20"/>
    </w:rPr>
  </w:style>
  <w:style w:type="character" w:customStyle="1" w:styleId="CommentTextChar">
    <w:name w:val="Comment Text Char"/>
    <w:basedOn w:val="DefaultParagraphFont"/>
    <w:link w:val="CommentText"/>
    <w:uiPriority w:val="99"/>
    <w:locked/>
    <w:rsid w:val="002F0A92"/>
    <w:rPr>
      <w:rFonts w:ascii="Times New Roman" w:hAnsi="Times New Roman" w:cs="Times New Roman"/>
      <w:sz w:val="20"/>
      <w:lang w:eastAsia="pl-PL"/>
    </w:rPr>
  </w:style>
  <w:style w:type="paragraph" w:styleId="CommentSubject">
    <w:name w:val="annotation subject"/>
    <w:basedOn w:val="CommentText"/>
    <w:next w:val="CommentText"/>
    <w:link w:val="CommentSubjectChar"/>
    <w:uiPriority w:val="99"/>
    <w:semiHidden/>
    <w:rsid w:val="002F0A92"/>
    <w:rPr>
      <w:b/>
      <w:bCs/>
    </w:rPr>
  </w:style>
  <w:style w:type="character" w:customStyle="1" w:styleId="CommentSubjectChar">
    <w:name w:val="Comment Subject Char"/>
    <w:basedOn w:val="CommentTextChar"/>
    <w:link w:val="CommentSubject"/>
    <w:uiPriority w:val="99"/>
    <w:semiHidden/>
    <w:locked/>
    <w:rsid w:val="002F0A92"/>
    <w:rPr>
      <w:b/>
    </w:rPr>
  </w:style>
  <w:style w:type="paragraph" w:styleId="BalloonText">
    <w:name w:val="Balloon Text"/>
    <w:basedOn w:val="Normal"/>
    <w:link w:val="BalloonTextChar"/>
    <w:uiPriority w:val="99"/>
    <w:semiHidden/>
    <w:rsid w:val="002F0A92"/>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2F0A92"/>
    <w:rPr>
      <w:rFonts w:ascii="Segoe UI" w:hAnsi="Segoe UI" w:cs="Times New Roman"/>
      <w:sz w:val="18"/>
      <w:lang w:eastAsia="pl-PL"/>
    </w:rPr>
  </w:style>
  <w:style w:type="character" w:styleId="SubtleEmphasis">
    <w:name w:val="Subtle Emphasis"/>
    <w:basedOn w:val="DefaultParagraphFont"/>
    <w:uiPriority w:val="99"/>
    <w:qFormat/>
    <w:rsid w:val="00A403BD"/>
    <w:rPr>
      <w:rFonts w:cs="Times New Roman"/>
      <w:i/>
      <w:color w:val="404040"/>
    </w:rPr>
  </w:style>
  <w:style w:type="paragraph" w:styleId="Header">
    <w:name w:val="header"/>
    <w:basedOn w:val="Normal"/>
    <w:link w:val="HeaderChar"/>
    <w:uiPriority w:val="99"/>
    <w:rsid w:val="00217624"/>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217624"/>
    <w:rPr>
      <w:rFonts w:ascii="Times New Roman" w:hAnsi="Times New Roman" w:cs="Times New Roman"/>
      <w:sz w:val="24"/>
      <w:lang w:eastAsia="pl-PL"/>
    </w:rPr>
  </w:style>
  <w:style w:type="paragraph" w:styleId="Footer">
    <w:name w:val="footer"/>
    <w:basedOn w:val="Normal"/>
    <w:link w:val="FooterChar"/>
    <w:uiPriority w:val="99"/>
    <w:rsid w:val="00217624"/>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217624"/>
    <w:rPr>
      <w:rFonts w:ascii="Times New Roman" w:hAnsi="Times New Roman" w:cs="Times New Roman"/>
      <w:sz w:val="24"/>
      <w:lang w:eastAsia="pl-PL"/>
    </w:rPr>
  </w:style>
  <w:style w:type="character" w:styleId="Hyperlink">
    <w:name w:val="Hyperlink"/>
    <w:basedOn w:val="DefaultParagraphFont"/>
    <w:uiPriority w:val="99"/>
    <w:rsid w:val="006E56B4"/>
    <w:rPr>
      <w:rFonts w:cs="Times New Roman"/>
      <w:color w:val="0000FF"/>
      <w:u w:val="single"/>
    </w:rPr>
  </w:style>
  <w:style w:type="paragraph" w:customStyle="1" w:styleId="Bezodstpw1">
    <w:name w:val="Bez odstępów1"/>
    <w:aliases w:val="Luc_Bez odstępów"/>
    <w:basedOn w:val="Normal"/>
    <w:autoRedefine/>
    <w:uiPriority w:val="99"/>
    <w:rsid w:val="006501B2"/>
    <w:pPr>
      <w:spacing w:line="280" w:lineRule="exact"/>
      <w:ind w:firstLine="284"/>
      <w:jc w:val="both"/>
    </w:pPr>
    <w:rPr>
      <w:rFonts w:ascii="Arial" w:hAnsi="Arial" w:cs="Arial"/>
      <w:spacing w:val="4"/>
      <w:sz w:val="20"/>
      <w:szCs w:val="20"/>
      <w:lang w:eastAsia="en-US"/>
    </w:rPr>
  </w:style>
</w:styles>
</file>

<file path=word/webSettings.xml><?xml version="1.0" encoding="utf-8"?>
<w:webSettings xmlns:r="http://schemas.openxmlformats.org/officeDocument/2006/relationships" xmlns:w="http://schemas.openxmlformats.org/wordprocessingml/2006/main">
  <w:divs>
    <w:div w:id="1675061685">
      <w:marLeft w:val="0"/>
      <w:marRight w:val="0"/>
      <w:marTop w:val="0"/>
      <w:marBottom w:val="0"/>
      <w:divBdr>
        <w:top w:val="none" w:sz="0" w:space="0" w:color="auto"/>
        <w:left w:val="none" w:sz="0" w:space="0" w:color="auto"/>
        <w:bottom w:val="none" w:sz="0" w:space="0" w:color="auto"/>
        <w:right w:val="none" w:sz="0" w:space="0" w:color="auto"/>
      </w:divBdr>
      <w:divsChild>
        <w:div w:id="1675061684">
          <w:marLeft w:val="0"/>
          <w:marRight w:val="0"/>
          <w:marTop w:val="240"/>
          <w:marBottom w:val="0"/>
          <w:divBdr>
            <w:top w:val="none" w:sz="0" w:space="0" w:color="auto"/>
            <w:left w:val="none" w:sz="0" w:space="0" w:color="auto"/>
            <w:bottom w:val="none" w:sz="0" w:space="0" w:color="auto"/>
            <w:right w:val="none" w:sz="0" w:space="0" w:color="auto"/>
          </w:divBdr>
        </w:div>
        <w:div w:id="1675061686">
          <w:marLeft w:val="0"/>
          <w:marRight w:val="0"/>
          <w:marTop w:val="240"/>
          <w:marBottom w:val="0"/>
          <w:divBdr>
            <w:top w:val="none" w:sz="0" w:space="0" w:color="auto"/>
            <w:left w:val="none" w:sz="0" w:space="0" w:color="auto"/>
            <w:bottom w:val="none" w:sz="0" w:space="0" w:color="auto"/>
            <w:right w:val="none" w:sz="0" w:space="0" w:color="auto"/>
          </w:divBdr>
        </w:div>
      </w:divsChild>
    </w:div>
    <w:div w:id="1675061687">
      <w:marLeft w:val="0"/>
      <w:marRight w:val="0"/>
      <w:marTop w:val="0"/>
      <w:marBottom w:val="0"/>
      <w:divBdr>
        <w:top w:val="none" w:sz="0" w:space="0" w:color="auto"/>
        <w:left w:val="none" w:sz="0" w:space="0" w:color="auto"/>
        <w:bottom w:val="none" w:sz="0" w:space="0" w:color="auto"/>
        <w:right w:val="none" w:sz="0" w:space="0" w:color="auto"/>
      </w:divBdr>
    </w:div>
    <w:div w:id="1675061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l.kalicki@itr.lukasiewicz.gov.pl" TargetMode="External"/><Relationship Id="rId13" Type="http://schemas.openxmlformats.org/officeDocument/2006/relationships/hyperlink" Target="mailto:dariusz.kapelski@itr.lukasiewicz.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ichal.kalicki@itr.lukasiewicz.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r.lukasiewicz.gov.pl/zapytania-ofertowe" TargetMode="External"/><Relationship Id="rId5" Type="http://schemas.openxmlformats.org/officeDocument/2006/relationships/footnotes" Target="footnotes.xml"/><Relationship Id="rId15" Type="http://schemas.openxmlformats.org/officeDocument/2006/relationships/hyperlink" Target="mailto:pawel.michalski@itr.lukasiewicz.gov.pl" TargetMode="External"/><Relationship Id="rId10" Type="http://schemas.openxmlformats.org/officeDocument/2006/relationships/hyperlink" Target="mailto:michal.kalicki@itr.lukasiewicz.gov.pl" TargetMode="External"/><Relationship Id="rId4" Type="http://schemas.openxmlformats.org/officeDocument/2006/relationships/webSettings" Target="webSettings.xml"/><Relationship Id="rId9" Type="http://schemas.openxmlformats.org/officeDocument/2006/relationships/hyperlink" Target="http://www.itr.org.pl" TargetMode="External"/><Relationship Id="rId14" Type="http://schemas.openxmlformats.org/officeDocument/2006/relationships/hyperlink" Target="mailto:jerzy.chudorlinski@itr.lukasiewic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4</Pages>
  <Words>1343</Words>
  <Characters>8059</Characters>
  <Application>Microsoft Office Outlook</Application>
  <DocSecurity>0</DocSecurity>
  <Lines>0</Lines>
  <Paragraphs>0</Paragraphs>
  <ScaleCrop>false</ScaleCrop>
  <Company>HP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współfinansowany przez Unię Europejską ze środków Europejskiego Funduszu Rozwoju Regionalnego w ramach Programu Operacyjnego Inteligentny Rozwój 2014-2020</dc:title>
  <dc:subject/>
  <dc:creator>Piotr Pryciński</dc:creator>
  <cp:keywords/>
  <dc:description/>
  <cp:lastModifiedBy>michal.kalicki</cp:lastModifiedBy>
  <cp:revision>6</cp:revision>
  <cp:lastPrinted>2021-12-20T11:07:00Z</cp:lastPrinted>
  <dcterms:created xsi:type="dcterms:W3CDTF">2023-02-13T07:15:00Z</dcterms:created>
  <dcterms:modified xsi:type="dcterms:W3CDTF">2023-02-14T07:34:00Z</dcterms:modified>
</cp:coreProperties>
</file>