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CD" w:rsidRPr="00B8617D" w:rsidRDefault="00D13DC8" w:rsidP="00B8617D">
      <w:pPr>
        <w:spacing w:after="0"/>
        <w:jc w:val="center"/>
        <w:rPr>
          <w:b/>
        </w:rPr>
      </w:pPr>
      <w:r>
        <w:rPr>
          <w:b/>
        </w:rPr>
        <w:t xml:space="preserve">SZCZEGÓŁOWY </w:t>
      </w:r>
      <w:r w:rsidR="007915CD" w:rsidRPr="00B8617D">
        <w:rPr>
          <w:b/>
        </w:rPr>
        <w:t>OPIS PRZEDMIOTU ZAMÓWIENIA</w:t>
      </w:r>
    </w:p>
    <w:p w:rsidR="00B8617D" w:rsidRPr="00B8617D" w:rsidRDefault="00B8617D" w:rsidP="00B8617D">
      <w:pPr>
        <w:spacing w:after="0"/>
        <w:jc w:val="center"/>
        <w:rPr>
          <w:b/>
        </w:rPr>
      </w:pPr>
      <w:r w:rsidRPr="00B8617D">
        <w:rPr>
          <w:b/>
        </w:rPr>
        <w:t>Kopiorama diodowa do PCB</w:t>
      </w:r>
    </w:p>
    <w:p w:rsidR="007915CD" w:rsidRDefault="007915CD" w:rsidP="00B8617D">
      <w:pPr>
        <w:spacing w:after="0"/>
      </w:pPr>
    </w:p>
    <w:p w:rsidR="004A0AD5" w:rsidRPr="004A0AD5" w:rsidRDefault="004A0AD5" w:rsidP="00B8617D">
      <w:pPr>
        <w:spacing w:after="0"/>
      </w:pPr>
      <w:r w:rsidRPr="004A0AD5">
        <w:t xml:space="preserve">Przedmiotem zamówienia jest zakup, dostawa, instalacja i uruchomienie </w:t>
      </w:r>
      <w:r w:rsidRPr="004A0AD5">
        <w:rPr>
          <w:b/>
          <w:bCs/>
        </w:rPr>
        <w:t>Kopioramy diodowej do PCB</w:t>
      </w:r>
      <w:r w:rsidRPr="004A0AD5">
        <w:t>, którą stanowi  półautomatyczna naświetlarka wyposażona w diodowe lampy</w:t>
      </w:r>
      <w:r w:rsidRPr="004A0AD5">
        <w:br/>
        <w:t xml:space="preserve">UV o </w:t>
      </w:r>
      <w:proofErr w:type="spellStart"/>
      <w:r w:rsidRPr="004A0AD5">
        <w:t>skolimowanym</w:t>
      </w:r>
      <w:proofErr w:type="spellEnd"/>
      <w:r w:rsidRPr="004A0AD5">
        <w:t xml:space="preserve"> strumieniu światła wykorzystywana w technologiach wytwarzania obwodów drukowanych. </w:t>
      </w:r>
      <w:r w:rsidRPr="004A0AD5">
        <w:br/>
        <w:t xml:space="preserve"> Zamówienie obejmuje także przeprowadzenie szkolenia obsługi systemu. </w:t>
      </w:r>
    </w:p>
    <w:p w:rsidR="004A0AD5" w:rsidRPr="004A0AD5" w:rsidRDefault="004A0AD5" w:rsidP="00B8617D">
      <w:pPr>
        <w:spacing w:after="0"/>
      </w:pPr>
    </w:p>
    <w:p w:rsidR="004A0AD5" w:rsidRPr="004A0AD5" w:rsidRDefault="004A0AD5" w:rsidP="00B8617D">
      <w:pPr>
        <w:spacing w:after="0"/>
      </w:pPr>
      <w:r w:rsidRPr="004A0AD5">
        <w:t>Wymagania podstawowe: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Typ urządzenia – naświetlarka półautomatyczna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 xml:space="preserve">Źródło światła – diodowe lampy UV o świetle </w:t>
      </w:r>
      <w:proofErr w:type="spellStart"/>
      <w:r w:rsidRPr="004A0AD5">
        <w:t>skolimowanym</w:t>
      </w:r>
      <w:proofErr w:type="spellEnd"/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Zastosowanie</w:t>
      </w:r>
      <w:r>
        <w:t xml:space="preserve"> do technologii obwodów sztywnych i elastycznych do</w:t>
      </w:r>
      <w:r w:rsidRPr="004A0AD5">
        <w:t>:</w:t>
      </w:r>
    </w:p>
    <w:p w:rsidR="004A0AD5" w:rsidRPr="004A0AD5" w:rsidRDefault="004A0AD5" w:rsidP="00B8617D">
      <w:pPr>
        <w:numPr>
          <w:ilvl w:val="1"/>
          <w:numId w:val="1"/>
        </w:numPr>
        <w:spacing w:after="0"/>
      </w:pPr>
      <w:r w:rsidRPr="004A0AD5">
        <w:t>Naświetlani</w:t>
      </w:r>
      <w:r>
        <w:t>a</w:t>
      </w:r>
      <w:r w:rsidRPr="004A0AD5">
        <w:t xml:space="preserve"> </w:t>
      </w:r>
      <w:proofErr w:type="spellStart"/>
      <w:r w:rsidRPr="004A0AD5">
        <w:t>fotopolimerów</w:t>
      </w:r>
      <w:proofErr w:type="spellEnd"/>
      <w:r w:rsidRPr="004A0AD5">
        <w:t xml:space="preserve"> na warstwach wewnętrznych i zewnętrznych PCB</w:t>
      </w:r>
      <w:r w:rsidR="002B1D4B">
        <w:t>,</w:t>
      </w:r>
    </w:p>
    <w:p w:rsidR="004A0AD5" w:rsidRPr="004A0AD5" w:rsidRDefault="004A0AD5" w:rsidP="00B8617D">
      <w:pPr>
        <w:numPr>
          <w:ilvl w:val="1"/>
          <w:numId w:val="1"/>
        </w:numPr>
        <w:spacing w:after="0"/>
      </w:pPr>
      <w:r w:rsidRPr="004A0AD5">
        <w:t>Naświetlani</w:t>
      </w:r>
      <w:r>
        <w:t>a</w:t>
      </w:r>
      <w:r w:rsidRPr="004A0AD5">
        <w:t xml:space="preserve"> maski </w:t>
      </w:r>
      <w:proofErr w:type="spellStart"/>
      <w:r w:rsidRPr="004A0AD5">
        <w:t>przeciwlutowej</w:t>
      </w:r>
      <w:proofErr w:type="spellEnd"/>
      <w:r w:rsidR="002B1D4B">
        <w:t>,</w:t>
      </w:r>
    </w:p>
    <w:p w:rsidR="004A0AD5" w:rsidRDefault="004A0AD5" w:rsidP="00B8617D">
      <w:pPr>
        <w:numPr>
          <w:ilvl w:val="0"/>
          <w:numId w:val="1"/>
        </w:numPr>
        <w:spacing w:after="0"/>
      </w:pPr>
      <w:r w:rsidRPr="004A0AD5">
        <w:t>Maksymalny rozmiar n</w:t>
      </w:r>
      <w:r w:rsidR="002B1D4B">
        <w:t xml:space="preserve">aświetlanego </w:t>
      </w:r>
      <w:proofErr w:type="spellStart"/>
      <w:r w:rsidR="002B1D4B">
        <w:t>panela</w:t>
      </w:r>
      <w:proofErr w:type="spellEnd"/>
      <w:r w:rsidR="002B1D4B">
        <w:t xml:space="preserve"> – 610 x 457,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 xml:space="preserve">Minimalny rozmiar naświetlanego </w:t>
      </w:r>
      <w:proofErr w:type="spellStart"/>
      <w:r w:rsidRPr="004A0AD5">
        <w:t>panela</w:t>
      </w:r>
      <w:proofErr w:type="spellEnd"/>
      <w:r w:rsidRPr="004A0AD5">
        <w:t xml:space="preserve"> – 300 x 200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Minimalna grubość płytki – 0,05 mm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Maksymalna grubość płytki – 5 mm (w cyklu półautomatycznym)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Dokładność pozycjonowania +/- 10 µm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Powtarzalność - +/- 10 µm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Rozdzielczość – nie gorsza niż 50 µm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Ilość lamp – 2 (górna i dolna)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Kolimacja światła lamp nie gorzej niż 2,5º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Deklinacja światła lamp 0,0º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 xml:space="preserve">Tryb </w:t>
      </w:r>
      <w:proofErr w:type="spellStart"/>
      <w:r w:rsidRPr="004A0AD5">
        <w:t>registracji</w:t>
      </w:r>
      <w:proofErr w:type="spellEnd"/>
      <w:r w:rsidRPr="004A0AD5">
        <w:t xml:space="preserve"> – automatyczna przy użyciu kamer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Ilość kamer 4+4 (góra i  dół)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 xml:space="preserve">Rozłączna </w:t>
      </w:r>
      <w:proofErr w:type="spellStart"/>
      <w:r w:rsidRPr="004A0AD5">
        <w:t>registracja</w:t>
      </w:r>
      <w:proofErr w:type="spellEnd"/>
      <w:r w:rsidRPr="004A0AD5">
        <w:t xml:space="preserve"> kliszy dolnej i górnej wobec płytki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 xml:space="preserve">Czas naświetlania </w:t>
      </w:r>
      <w:proofErr w:type="spellStart"/>
      <w:r w:rsidRPr="004A0AD5">
        <w:t>panela</w:t>
      </w:r>
      <w:proofErr w:type="spellEnd"/>
      <w:r w:rsidRPr="004A0AD5">
        <w:t xml:space="preserve"> 610 x 457 – nie dłuższy niż 8 sek. (suchy </w:t>
      </w:r>
      <w:proofErr w:type="spellStart"/>
      <w:r w:rsidRPr="004A0AD5">
        <w:t>fotopolimer</w:t>
      </w:r>
      <w:proofErr w:type="spellEnd"/>
      <w:r w:rsidRPr="004A0AD5">
        <w:t>)</w:t>
      </w:r>
      <w:r w:rsidR="002B1D4B">
        <w:t>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>
        <w:t>Urządzenie musi mieć wyposażenie i tryb pracy umożliwiający n</w:t>
      </w:r>
      <w:r w:rsidRPr="004A0AD5">
        <w:t>aświetlanie jednostronne dla płytek o grubości przekraczającej 5 mm</w:t>
      </w:r>
      <w:r w:rsidR="002B1D4B">
        <w:t>,</w:t>
      </w:r>
      <w:r w:rsidR="008B3CED">
        <w:t xml:space="preserve"> 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Wymiar urządzania (</w:t>
      </w:r>
      <w:proofErr w:type="spellStart"/>
      <w:r w:rsidRPr="004A0AD5">
        <w:t>WxD</w:t>
      </w:r>
      <w:proofErr w:type="spellEnd"/>
      <w:r w:rsidRPr="004A0AD5">
        <w:t>) – nie więcej niż 1650 x 1200 mm</w:t>
      </w:r>
      <w:r w:rsidR="002B1D4B">
        <w:t>,</w:t>
      </w:r>
    </w:p>
    <w:p w:rsidR="004A0AD5" w:rsidRDefault="004A0AD5" w:rsidP="00B8617D">
      <w:pPr>
        <w:numPr>
          <w:ilvl w:val="0"/>
          <w:numId w:val="1"/>
        </w:numPr>
        <w:spacing w:after="0"/>
      </w:pPr>
      <w:r w:rsidRPr="004A0AD5">
        <w:t xml:space="preserve">Kopiorama ma być dostarczona wraz </w:t>
      </w:r>
      <w:r w:rsidR="002B1D4B">
        <w:t>z urządzeniem chłodzącym lampy,</w:t>
      </w:r>
    </w:p>
    <w:p w:rsidR="002B1D4B" w:rsidRPr="004A0AD5" w:rsidRDefault="002B1D4B" w:rsidP="00B8617D">
      <w:pPr>
        <w:numPr>
          <w:ilvl w:val="0"/>
          <w:numId w:val="1"/>
        </w:numPr>
        <w:spacing w:after="0"/>
      </w:pPr>
      <w:r>
        <w:t>Urządzenie powinno być wyposażone w kółka transportowe,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Wraz z urządzeniem zostanie dostarczona dokumentacja techniczna zawierająca warunki użytkowania i konserwacji urządzenia, schemat elektryczny, schemat hydrauliczny, schemat pneumatyczny (jeśli mają zastosowanie),</w:t>
      </w:r>
    </w:p>
    <w:p w:rsidR="004A0AD5" w:rsidRDefault="004A0AD5" w:rsidP="00B8617D">
      <w:pPr>
        <w:numPr>
          <w:ilvl w:val="0"/>
          <w:numId w:val="1"/>
        </w:numPr>
        <w:spacing w:after="0"/>
      </w:pPr>
      <w:r w:rsidRPr="004A0AD5">
        <w:t>Wraz z urządzeniem zostanie dostarczony zestaw części zamiennych zawierający</w:t>
      </w:r>
      <w:r>
        <w:t>:</w:t>
      </w:r>
    </w:p>
    <w:p w:rsidR="004A0AD5" w:rsidRDefault="004A0AD5" w:rsidP="00B8617D">
      <w:pPr>
        <w:numPr>
          <w:ilvl w:val="1"/>
          <w:numId w:val="1"/>
        </w:numPr>
        <w:spacing w:after="0"/>
      </w:pPr>
      <w:r w:rsidRPr="004A0AD5">
        <w:t xml:space="preserve"> </w:t>
      </w:r>
      <w:r w:rsidR="00F76081">
        <w:t>Silniki</w:t>
      </w:r>
      <w:r w:rsidR="00765447">
        <w:t xml:space="preserve"> napędowe serwomechanizmów </w:t>
      </w:r>
      <w:r>
        <w:t xml:space="preserve"> – 2 szt</w:t>
      </w:r>
      <w:r w:rsidR="000752BF">
        <w:t xml:space="preserve">. </w:t>
      </w:r>
    </w:p>
    <w:p w:rsidR="004A0AD5" w:rsidRDefault="004A0AD5" w:rsidP="00B8617D">
      <w:pPr>
        <w:numPr>
          <w:ilvl w:val="1"/>
          <w:numId w:val="1"/>
        </w:numPr>
        <w:spacing w:after="0"/>
      </w:pPr>
      <w:r>
        <w:t>sterowniki  serwomechanizmów – 2 szt.</w:t>
      </w:r>
    </w:p>
    <w:p w:rsidR="004A0AD5" w:rsidRDefault="004A0AD5" w:rsidP="00B8617D">
      <w:pPr>
        <w:numPr>
          <w:ilvl w:val="1"/>
          <w:numId w:val="1"/>
        </w:numPr>
        <w:spacing w:after="0"/>
      </w:pPr>
      <w:r>
        <w:t xml:space="preserve">zapasowa  szyba ramy naświetlającej </w:t>
      </w:r>
      <w:r w:rsidR="000752BF">
        <w:t>– 1 szt.</w:t>
      </w:r>
    </w:p>
    <w:p w:rsidR="00765447" w:rsidRDefault="00765447" w:rsidP="00B8617D">
      <w:pPr>
        <w:numPr>
          <w:ilvl w:val="1"/>
          <w:numId w:val="1"/>
        </w:numPr>
        <w:spacing w:after="0"/>
      </w:pPr>
      <w:r>
        <w:t xml:space="preserve">Kamera – 2 </w:t>
      </w:r>
      <w:proofErr w:type="spellStart"/>
      <w:r>
        <w:t>szt</w:t>
      </w:r>
      <w:proofErr w:type="spellEnd"/>
    </w:p>
    <w:p w:rsidR="00765447" w:rsidRDefault="007915CD" w:rsidP="00B8617D">
      <w:pPr>
        <w:numPr>
          <w:ilvl w:val="1"/>
          <w:numId w:val="1"/>
        </w:numPr>
        <w:spacing w:after="0"/>
      </w:pPr>
      <w:r>
        <w:t xml:space="preserve">Moduł lampy UV – 2 </w:t>
      </w:r>
      <w:proofErr w:type="spellStart"/>
      <w:r>
        <w:t>szt</w:t>
      </w:r>
      <w:proofErr w:type="spellEnd"/>
    </w:p>
    <w:p w:rsidR="004A0AD5" w:rsidRDefault="004A0AD5" w:rsidP="00B8617D">
      <w:pPr>
        <w:numPr>
          <w:ilvl w:val="0"/>
          <w:numId w:val="1"/>
        </w:numPr>
        <w:spacing w:after="0"/>
      </w:pPr>
      <w:r w:rsidRPr="004A0AD5">
        <w:t>Serwis do urządzenia musi znajdować się w Europie.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lastRenderedPageBreak/>
        <w:t>Dostawca powinien zapewnić instalacje, kalibrację oraz szkolenie rozruchowe w okresie nie dłuższym niż 5 dni po instalacji systemu.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Dostawca udzieli gwarancji zainstalowane urządzenie na okres 24 miesięcy od uruchomienia</w:t>
      </w:r>
      <w:r>
        <w:t xml:space="preserve"> u Zamawiającego</w:t>
      </w:r>
    </w:p>
    <w:p w:rsidR="004A0AD5" w:rsidRDefault="004A0AD5" w:rsidP="00B8617D">
      <w:pPr>
        <w:numPr>
          <w:ilvl w:val="0"/>
          <w:numId w:val="1"/>
        </w:numPr>
        <w:spacing w:after="0"/>
      </w:pPr>
      <w:r w:rsidRPr="004A0AD5">
        <w:t>W okresie 10 lat od daty instalacji urządzeń musi być zapewniona dostępność części zamiennych, serwis pogwarancyjny oraz wsparcie techniczne i technologiczne (w języku polskim lub angielskim).</w:t>
      </w:r>
    </w:p>
    <w:p w:rsidR="007915CD" w:rsidRPr="007915CD" w:rsidRDefault="007915CD" w:rsidP="00B8617D">
      <w:pPr>
        <w:pStyle w:val="Akapitzlist"/>
        <w:numPr>
          <w:ilvl w:val="0"/>
          <w:numId w:val="1"/>
        </w:numPr>
        <w:spacing w:after="0"/>
      </w:pPr>
      <w:r w:rsidRPr="007915CD">
        <w:t>Termin dostawy -</w:t>
      </w:r>
      <w:r>
        <w:t xml:space="preserve"> do</w:t>
      </w:r>
      <w:r w:rsidRPr="007915CD">
        <w:t xml:space="preserve"> 5 miesięcy od momentu wezwania do wykonania zamówienia. Wezwanie do wykonania zamówienia nastąpi w terminie do 4 miesięcy od momentu podpisania kontraktu.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Cena urządzenia powinna obejmować wszystkie koszty związane z realizacją zamówienia, w tym za opakowanie, transport, ubezpieczenie, montaż urządzenia oraz szkolenie w zakresie obsługi w siedzibie Instytutu.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Dostawca musi wykazać co najmniej 3 instalacje takich samych lub podobnych urządzeń.</w:t>
      </w:r>
    </w:p>
    <w:p w:rsidR="004A0AD5" w:rsidRPr="004A0AD5" w:rsidRDefault="004A0AD5" w:rsidP="00E666A2">
      <w:pPr>
        <w:numPr>
          <w:ilvl w:val="0"/>
          <w:numId w:val="1"/>
        </w:numPr>
        <w:spacing w:after="0"/>
      </w:pPr>
      <w:r w:rsidRPr="004A0AD5">
        <w:t>Przedmiotem dostawy mogą być tylko urządzenia fabrycznie nowe.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Do oferty należy dołączyć kartę katalogową oraz rysunek z warunkami instalacji urządzenia.</w:t>
      </w:r>
    </w:p>
    <w:p w:rsidR="004A0AD5" w:rsidRPr="004A0AD5" w:rsidRDefault="004A0AD5" w:rsidP="00B8617D">
      <w:pPr>
        <w:numPr>
          <w:ilvl w:val="0"/>
          <w:numId w:val="1"/>
        </w:numPr>
        <w:spacing w:after="0"/>
      </w:pPr>
      <w:r w:rsidRPr="004A0AD5">
        <w:t>Urządzenie musi posiadać certyfikat zgodności z CE.</w:t>
      </w:r>
    </w:p>
    <w:p w:rsidR="00F260AA" w:rsidRDefault="004A0AD5" w:rsidP="00B8617D">
      <w:pPr>
        <w:numPr>
          <w:ilvl w:val="0"/>
          <w:numId w:val="1"/>
        </w:numPr>
        <w:spacing w:after="0"/>
      </w:pPr>
      <w:r w:rsidRPr="004A0AD5">
        <w:t>Urządzenie musi być dostosowane do europejskich</w:t>
      </w:r>
      <w:r w:rsidR="007915CD">
        <w:t xml:space="preserve"> norm energetycznych</w:t>
      </w:r>
      <w:r w:rsidR="00E666A2">
        <w:t>.</w:t>
      </w:r>
    </w:p>
    <w:p w:rsidR="00FF049B" w:rsidRDefault="00FF049B" w:rsidP="00FF049B">
      <w:pPr>
        <w:spacing w:after="0"/>
      </w:pPr>
    </w:p>
    <w:p w:rsidR="00FF049B" w:rsidRDefault="00FF049B" w:rsidP="00FF049B">
      <w:pPr>
        <w:spacing w:after="0"/>
      </w:pPr>
    </w:p>
    <w:p w:rsidR="00FF049B" w:rsidRDefault="00FF049B" w:rsidP="00FF049B">
      <w:pPr>
        <w:spacing w:after="0"/>
      </w:pPr>
    </w:p>
    <w:p w:rsidR="00FF049B" w:rsidRPr="007E7104" w:rsidRDefault="00FF049B" w:rsidP="00FF049B">
      <w:pPr>
        <w:rPr>
          <w:rStyle w:val="tlid-translationtranslation"/>
          <w:sz w:val="28"/>
          <w:szCs w:val="28"/>
        </w:rPr>
      </w:pPr>
      <w:r w:rsidRPr="006030B5">
        <w:rPr>
          <w:b/>
        </w:rPr>
        <w:t>Oświadczamy, że nasz przedmiot dostawy i firma spełniają powyższe wymagania</w:t>
      </w:r>
    </w:p>
    <w:p w:rsidR="00FF049B" w:rsidRDefault="00FF049B" w:rsidP="00FF049B">
      <w:pPr>
        <w:rPr>
          <w:rStyle w:val="tlid-translationtranslation"/>
          <w:sz w:val="32"/>
          <w:szCs w:val="32"/>
        </w:rPr>
      </w:pPr>
    </w:p>
    <w:p w:rsidR="00FF049B" w:rsidRDefault="00FF049B" w:rsidP="00FF049B">
      <w:pPr>
        <w:rPr>
          <w:rStyle w:val="tlid-translationtranslation"/>
          <w:sz w:val="32"/>
          <w:szCs w:val="32"/>
        </w:rPr>
      </w:pPr>
    </w:p>
    <w:p w:rsidR="00FF049B" w:rsidRDefault="00FF049B" w:rsidP="00FF049B">
      <w:pPr>
        <w:rPr>
          <w:rStyle w:val="tlid-translationtranslation"/>
          <w:sz w:val="32"/>
          <w:szCs w:val="32"/>
        </w:rPr>
      </w:pPr>
    </w:p>
    <w:p w:rsidR="00FF049B" w:rsidRPr="007E7104" w:rsidRDefault="00FF049B" w:rsidP="00FF049B">
      <w:pPr>
        <w:rPr>
          <w:rStyle w:val="tlid-translationtranslation"/>
          <w:sz w:val="32"/>
          <w:szCs w:val="32"/>
        </w:rPr>
      </w:pPr>
    </w:p>
    <w:p w:rsidR="00FF049B" w:rsidRDefault="00FF049B" w:rsidP="00FF049B">
      <w:pPr>
        <w:jc w:val="center"/>
        <w:rPr>
          <w:rStyle w:val="tlid-translationtranslation"/>
        </w:rPr>
      </w:pPr>
      <w:r>
        <w:rPr>
          <w:rStyle w:val="tlid-translationtranslation"/>
        </w:rPr>
        <w:t>……………………………………………………….</w:t>
      </w:r>
    </w:p>
    <w:p w:rsidR="00FF049B" w:rsidRPr="00CC4375" w:rsidRDefault="00FF049B" w:rsidP="00FF049B">
      <w:pPr>
        <w:rPr>
          <w:rStyle w:val="tlid-translationtranslation"/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79"/>
      </w:tblGrid>
      <w:tr w:rsidR="00FF049B" w:rsidRPr="006030B5" w:rsidTr="007D6783">
        <w:trPr>
          <w:jc w:val="center"/>
        </w:trPr>
        <w:tc>
          <w:tcPr>
            <w:tcW w:w="7879" w:type="dxa"/>
            <w:shd w:val="clear" w:color="auto" w:fill="auto"/>
          </w:tcPr>
          <w:p w:rsidR="00FF049B" w:rsidRPr="006030B5" w:rsidRDefault="00FF049B" w:rsidP="007D6783">
            <w:pPr>
              <w:jc w:val="center"/>
              <w:rPr>
                <w:bCs/>
                <w:i/>
                <w:iCs/>
                <w:color w:val="000000"/>
              </w:rPr>
            </w:pPr>
            <w:r w:rsidRPr="006030B5">
              <w:rPr>
                <w:bCs/>
                <w:i/>
                <w:iCs/>
                <w:color w:val="000000"/>
              </w:rPr>
              <w:t>Imię i nazwisko lub pieczęć</w:t>
            </w:r>
          </w:p>
          <w:p w:rsidR="00FF049B" w:rsidRPr="006030B5" w:rsidRDefault="00FF049B" w:rsidP="007D6783">
            <w:pPr>
              <w:jc w:val="center"/>
              <w:rPr>
                <w:lang w:val="en-US"/>
              </w:rPr>
            </w:pPr>
            <w:r w:rsidRPr="006030B5">
              <w:rPr>
                <w:bCs/>
                <w:i/>
                <w:iCs/>
                <w:color w:val="000000"/>
              </w:rPr>
              <w:t xml:space="preserve">oraz podpis osoby upoważnionej do reprezentowania </w:t>
            </w:r>
            <w:r>
              <w:rPr>
                <w:bCs/>
                <w:i/>
                <w:iCs/>
              </w:rPr>
              <w:t>Dostawcy</w:t>
            </w:r>
            <w:r w:rsidRPr="006030B5">
              <w:rPr>
                <w:bCs/>
                <w:i/>
                <w:iCs/>
                <w:color w:val="000000"/>
              </w:rPr>
              <w:t xml:space="preserve"> (firmy)</w:t>
            </w:r>
          </w:p>
        </w:tc>
      </w:tr>
      <w:tr w:rsidR="00FF049B" w:rsidRPr="006030B5" w:rsidTr="007D6783">
        <w:trPr>
          <w:jc w:val="center"/>
        </w:trPr>
        <w:tc>
          <w:tcPr>
            <w:tcW w:w="7879" w:type="dxa"/>
            <w:shd w:val="clear" w:color="auto" w:fill="auto"/>
          </w:tcPr>
          <w:p w:rsidR="00FF049B" w:rsidRPr="00CC4375" w:rsidRDefault="00FF049B" w:rsidP="007D6783">
            <w:pPr>
              <w:jc w:val="center"/>
              <w:rPr>
                <w:bCs/>
                <w:i/>
                <w:iCs/>
                <w:color w:val="000000"/>
                <w:sz w:val="12"/>
                <w:szCs w:val="12"/>
                <w:lang w:val="en-US"/>
              </w:rPr>
            </w:pPr>
          </w:p>
          <w:p w:rsidR="00FF049B" w:rsidRPr="006030B5" w:rsidRDefault="00FF049B" w:rsidP="007D6783">
            <w:pPr>
              <w:jc w:val="center"/>
              <w:rPr>
                <w:lang w:val="en-US"/>
              </w:rPr>
            </w:pPr>
          </w:p>
        </w:tc>
      </w:tr>
    </w:tbl>
    <w:p w:rsidR="00FF049B" w:rsidRDefault="00FF049B" w:rsidP="00FF049B">
      <w:pPr>
        <w:spacing w:after="0"/>
      </w:pPr>
      <w:bookmarkStart w:id="0" w:name="_GoBack"/>
      <w:bookmarkEnd w:id="0"/>
    </w:p>
    <w:sectPr w:rsidR="00FF049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2E" w:rsidRDefault="003E082E" w:rsidP="00994C0D">
      <w:pPr>
        <w:spacing w:after="0" w:line="240" w:lineRule="auto"/>
      </w:pPr>
      <w:r>
        <w:separator/>
      </w:r>
    </w:p>
  </w:endnote>
  <w:endnote w:type="continuationSeparator" w:id="0">
    <w:p w:rsidR="003E082E" w:rsidRDefault="003E082E" w:rsidP="0099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504671"/>
      <w:docPartObj>
        <w:docPartGallery w:val="Page Numbers (Bottom of Page)"/>
        <w:docPartUnique/>
      </w:docPartObj>
    </w:sdtPr>
    <w:sdtEndPr/>
    <w:sdtContent>
      <w:p w:rsidR="00994C0D" w:rsidRDefault="00994C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4C0D" w:rsidRDefault="0099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461559"/>
      <w:docPartObj>
        <w:docPartGallery w:val="Page Numbers (Bottom of Page)"/>
        <w:docPartUnique/>
      </w:docPartObj>
    </w:sdtPr>
    <w:sdtEndPr/>
    <w:sdtContent>
      <w:p w:rsidR="00994C0D" w:rsidRDefault="00994C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4C0D" w:rsidRDefault="0099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2E" w:rsidRDefault="003E082E" w:rsidP="00994C0D">
      <w:pPr>
        <w:spacing w:after="0" w:line="240" w:lineRule="auto"/>
      </w:pPr>
      <w:r>
        <w:separator/>
      </w:r>
    </w:p>
  </w:footnote>
  <w:footnote w:type="continuationSeparator" w:id="0">
    <w:p w:rsidR="003E082E" w:rsidRDefault="003E082E" w:rsidP="0099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0D" w:rsidRDefault="00D13DC8" w:rsidP="00994C0D">
    <w:pPr>
      <w:pStyle w:val="Nagwek"/>
      <w:jc w:val="right"/>
    </w:pPr>
    <w:r>
      <w:t xml:space="preserve">Zam. </w:t>
    </w:r>
    <w:proofErr w:type="spellStart"/>
    <w:r>
      <w:t>Publ</w:t>
    </w:r>
    <w:proofErr w:type="spellEnd"/>
    <w:r>
      <w:t>. nr 18/2019</w:t>
    </w:r>
  </w:p>
  <w:p w:rsidR="00994C0D" w:rsidRDefault="00994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AD5"/>
    <w:rsid w:val="000752BF"/>
    <w:rsid w:val="002B1D4B"/>
    <w:rsid w:val="003E082E"/>
    <w:rsid w:val="004A0AD5"/>
    <w:rsid w:val="006E34CA"/>
    <w:rsid w:val="00765447"/>
    <w:rsid w:val="007915CD"/>
    <w:rsid w:val="008B3CED"/>
    <w:rsid w:val="00994C0D"/>
    <w:rsid w:val="00AB7DD4"/>
    <w:rsid w:val="00AE678E"/>
    <w:rsid w:val="00B8617D"/>
    <w:rsid w:val="00CC4AFD"/>
    <w:rsid w:val="00D13DC8"/>
    <w:rsid w:val="00E666A2"/>
    <w:rsid w:val="00E74736"/>
    <w:rsid w:val="00F260AA"/>
    <w:rsid w:val="00F76081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6E74"/>
  <w15:docId w15:val="{DB0359E2-4D5C-47C1-8723-AB900398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0D"/>
  </w:style>
  <w:style w:type="paragraph" w:styleId="Stopka">
    <w:name w:val="footer"/>
    <w:basedOn w:val="Normalny"/>
    <w:link w:val="StopkaZnak"/>
    <w:uiPriority w:val="99"/>
    <w:unhideWhenUsed/>
    <w:rsid w:val="0099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0D"/>
  </w:style>
  <w:style w:type="character" w:customStyle="1" w:styleId="tlid-translationtranslation">
    <w:name w:val="tlid-translation translation"/>
    <w:rsid w:val="00FF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MMajdak</cp:lastModifiedBy>
  <cp:revision>6</cp:revision>
  <dcterms:created xsi:type="dcterms:W3CDTF">2019-08-07T10:09:00Z</dcterms:created>
  <dcterms:modified xsi:type="dcterms:W3CDTF">2019-08-14T09:45:00Z</dcterms:modified>
</cp:coreProperties>
</file>